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hint="eastAsia" w:ascii="方正小标宋简体" w:hAnsi="方正小标宋简体" w:eastAsia="方正小标宋简体" w:cs="方正小标宋简体"/>
          <w:color w:val="auto"/>
          <w:sz w:val="72"/>
          <w:szCs w:val="72"/>
          <w:highlight w:val="none"/>
        </w:rPr>
      </w:pPr>
      <w:bookmarkStart w:id="0" w:name="_Toc15396597"/>
      <w:bookmarkStart w:id="1" w:name="_Toc15377193"/>
      <w:bookmarkStart w:id="2" w:name="_Toc15377425"/>
      <w:bookmarkStart w:id="3" w:name="_Toc15396475"/>
      <w:bookmarkStart w:id="4" w:name="_Toc15378441"/>
    </w:p>
    <w:p>
      <w:pPr>
        <w:pStyle w:val="2"/>
        <w:rPr>
          <w:rFonts w:hint="eastAsia"/>
        </w:rPr>
      </w:pPr>
    </w:p>
    <w:p>
      <w:pPr>
        <w:pStyle w:val="3"/>
        <w:rPr>
          <w:rFonts w:hint="eastAsia"/>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5" w:name="_Toc15377426"/>
      <w:bookmarkStart w:id="6" w:name="_Toc15396476"/>
      <w:bookmarkStart w:id="7" w:name="_Toc15378442"/>
      <w:bookmarkStart w:id="8" w:name="_Toc15396598"/>
      <w:bookmarkStart w:id="9" w:name="_Toc15377194"/>
      <w:r>
        <w:rPr>
          <w:rFonts w:hint="eastAsia" w:ascii="方正小标宋简体" w:hAnsi="方正小标宋简体" w:eastAsia="方正小标宋简体" w:cs="方正小标宋简体"/>
          <w:color w:val="auto"/>
          <w:sz w:val="72"/>
          <w:szCs w:val="72"/>
          <w:highlight w:val="none"/>
          <w:lang w:eastAsia="zh-CN"/>
        </w:rPr>
        <w:t>广元市</w:t>
      </w:r>
      <w:bookmarkStart w:id="10" w:name="_Toc15306268"/>
      <w:r>
        <w:rPr>
          <w:rFonts w:hint="eastAsia" w:ascii="方正小标宋简体" w:hAnsi="方正小标宋简体" w:eastAsia="方正小标宋简体" w:cs="方正小标宋简体"/>
          <w:color w:val="auto"/>
          <w:sz w:val="72"/>
          <w:szCs w:val="72"/>
          <w:highlight w:val="none"/>
          <w:lang w:eastAsia="zh-CN"/>
        </w:rPr>
        <w:t>精神卫生中心</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5"/>
      <w:bookmarkEnd w:id="6"/>
      <w:bookmarkEnd w:id="7"/>
      <w:bookmarkEnd w:id="8"/>
      <w:bookmarkEnd w:id="9"/>
      <w:bookmarkEnd w:id="10"/>
    </w:p>
    <w:p>
      <w:pPr>
        <w:pStyle w:val="2"/>
        <w:keepNext w:val="0"/>
        <w:keepLines w:val="0"/>
        <w:pageBreakBefore w:val="0"/>
        <w:widowControl w:val="0"/>
        <w:kinsoku/>
        <w:wordWrap/>
        <w:overflowPunct/>
        <w:topLinePunct w:val="0"/>
        <w:autoSpaceDE/>
        <w:autoSpaceDN/>
        <w:bidi w:val="0"/>
        <w:adjustRightInd/>
        <w:snapToGrid/>
        <w:spacing w:before="93" w:line="720" w:lineRule="auto"/>
        <w:ind w:firstLine="1807" w:firstLineChars="500"/>
        <w:textAlignment w:val="auto"/>
        <w:rPr>
          <w:rFonts w:hint="eastAsia" w:ascii="宋体" w:hAnsi="宋体" w:eastAsia="宋体" w:cs="宋体"/>
          <w:b/>
          <w:bCs/>
          <w:sz w:val="36"/>
          <w:szCs w:val="36"/>
          <w:lang w:val="en-US" w:eastAsia="zh-CN"/>
        </w:rPr>
      </w:pPr>
    </w:p>
    <w:p>
      <w:pPr>
        <w:pStyle w:val="2"/>
        <w:keepNext w:val="0"/>
        <w:keepLines w:val="0"/>
        <w:pageBreakBefore w:val="0"/>
        <w:widowControl w:val="0"/>
        <w:kinsoku/>
        <w:wordWrap/>
        <w:overflowPunct/>
        <w:topLinePunct w:val="0"/>
        <w:autoSpaceDE/>
        <w:autoSpaceDN/>
        <w:bidi w:val="0"/>
        <w:adjustRightInd/>
        <w:snapToGrid/>
        <w:spacing w:before="93" w:line="720" w:lineRule="auto"/>
        <w:jc w:val="center"/>
        <w:textAlignment w:val="auto"/>
        <w:rPr>
          <w:rFonts w:hint="eastAsia" w:ascii="黑体" w:hAnsi="黑体" w:eastAsia="黑体"/>
          <w:color w:val="auto"/>
          <w:sz w:val="48"/>
          <w:szCs w:val="48"/>
          <w:highlight w:val="none"/>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p>
    <w:p>
      <w:pPr>
        <w:pStyle w:val="2"/>
        <w:keepNext w:val="0"/>
        <w:keepLines w:val="0"/>
        <w:pageBreakBefore w:val="0"/>
        <w:widowControl w:val="0"/>
        <w:kinsoku/>
        <w:wordWrap/>
        <w:overflowPunct/>
        <w:topLinePunct w:val="0"/>
        <w:autoSpaceDE/>
        <w:autoSpaceDN/>
        <w:bidi w:val="0"/>
        <w:adjustRightInd/>
        <w:snapToGrid/>
        <w:spacing w:before="93" w:line="720" w:lineRule="auto"/>
        <w:jc w:val="center"/>
        <w:textAlignment w:val="auto"/>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3"/>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79516"/>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bookmarkStart w:id="11" w:name="_Toc15396599"/>
          <w:bookmarkStart w:id="12" w:name="_Toc15377196"/>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"1-2" \h \u </w:instrText>
          </w:r>
          <w:r>
            <w:rPr>
              <w:rFonts w:hint="eastAsia" w:ascii="黑体" w:hAnsi="黑体" w:eastAsia="黑体"/>
              <w:b w:val="0"/>
              <w:color w:val="auto"/>
              <w:highlight w:val="none"/>
            </w:rPr>
            <w:fldChar w:fldCharType="separate"/>
          </w:r>
        </w:p>
        <w:p>
          <w:pPr>
            <w:pStyle w:val="3"/>
            <w:tabs>
              <w:tab w:val="right" w:leader="dot" w:pos="8306"/>
              <w:tab w:val="clear" w:pos="8296"/>
            </w:tabs>
            <w:rPr>
              <w:rFonts w:hint="eastAsia" w:ascii="宋体" w:hAnsi="宋体" w:eastAsia="宋体" w:cs="宋体"/>
              <w:sz w:val="30"/>
              <w:szCs w:val="30"/>
            </w:rPr>
          </w:pPr>
          <w:r>
            <w:rPr>
              <w:rFonts w:hint="eastAsia" w:ascii="宋体" w:hAnsi="宋体" w:eastAsia="宋体" w:cs="宋体"/>
              <w:b/>
              <w:bCs/>
              <w:color w:val="auto"/>
              <w:sz w:val="30"/>
              <w:szCs w:val="30"/>
              <w:highlight w:val="none"/>
            </w:rPr>
            <w:fldChar w:fldCharType="begin"/>
          </w:r>
          <w:r>
            <w:rPr>
              <w:rFonts w:hint="eastAsia" w:ascii="宋体" w:hAnsi="宋体" w:eastAsia="宋体" w:cs="宋体"/>
              <w:b/>
              <w:bCs/>
              <w:sz w:val="30"/>
              <w:szCs w:val="30"/>
              <w:highlight w:val="none"/>
            </w:rPr>
            <w:instrText xml:space="preserve"> HYPERLINK \l _Toc32102 </w:instrText>
          </w:r>
          <w:r>
            <w:rPr>
              <w:rFonts w:hint="eastAsia" w:ascii="宋体" w:hAnsi="宋体" w:eastAsia="宋体" w:cs="宋体"/>
              <w:b/>
              <w:bCs/>
              <w:sz w:val="30"/>
              <w:szCs w:val="30"/>
              <w:highlight w:val="none"/>
            </w:rPr>
            <w:fldChar w:fldCharType="separate"/>
          </w:r>
          <w:r>
            <w:rPr>
              <w:rFonts w:hint="eastAsia" w:ascii="宋体" w:hAnsi="宋体" w:eastAsia="宋体" w:cs="宋体"/>
              <w:b/>
              <w:bCs/>
              <w:sz w:val="30"/>
              <w:szCs w:val="30"/>
              <w:highlight w:val="none"/>
            </w:rPr>
            <w:t xml:space="preserve">第一部分 </w:t>
          </w:r>
          <w:r>
            <w:rPr>
              <w:rFonts w:hint="eastAsia" w:ascii="宋体" w:hAnsi="宋体" w:eastAsia="宋体" w:cs="宋体"/>
              <w:b/>
              <w:bCs/>
              <w:sz w:val="30"/>
              <w:szCs w:val="30"/>
              <w:highlight w:val="none"/>
              <w:lang w:eastAsia="zh-CN"/>
            </w:rPr>
            <w:t>单位</w:t>
          </w:r>
          <w:r>
            <w:rPr>
              <w:rFonts w:hint="eastAsia" w:ascii="宋体" w:hAnsi="宋体" w:eastAsia="宋体" w:cs="宋体"/>
              <w:b/>
              <w:bCs/>
              <w:sz w:val="30"/>
              <w:szCs w:val="30"/>
              <w:highlight w:val="none"/>
            </w:rPr>
            <w:t>概况</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_Toc32102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w:t>
          </w:r>
          <w:r>
            <w:rPr>
              <w:rFonts w:hint="eastAsia" w:ascii="宋体" w:hAnsi="宋体" w:eastAsia="宋体" w:cs="宋体"/>
              <w:b/>
              <w:bCs/>
              <w:sz w:val="30"/>
              <w:szCs w:val="30"/>
            </w:rPr>
            <w:fldChar w:fldCharType="end"/>
          </w:r>
          <w:r>
            <w:rPr>
              <w:rFonts w:hint="eastAsia" w:ascii="宋体" w:hAnsi="宋体" w:eastAsia="宋体" w:cs="宋体"/>
              <w:b/>
              <w:bCs/>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_Toc15860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lang w:eastAsia="zh-CN"/>
            </w:rPr>
            <w:t>一、</w:t>
          </w:r>
          <w:r>
            <w:rPr>
              <w:rFonts w:hint="eastAsia" w:ascii="宋体" w:hAnsi="宋体" w:eastAsia="宋体" w:cs="宋体"/>
              <w:bCs w:val="0"/>
              <w:sz w:val="30"/>
              <w:szCs w:val="30"/>
              <w:highlight w:val="none"/>
              <w:lang w:eastAsia="zh-CN"/>
            </w:rPr>
            <w:t>主要职责</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_Toc15860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_Toc23775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lang w:val="en-US" w:eastAsia="zh-CN"/>
            </w:rPr>
            <w:t>二、机构设置</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_Toc23775 \h </w:instrText>
          </w:r>
          <w:r>
            <w:rPr>
              <w:rFonts w:hint="eastAsia" w:ascii="宋体" w:hAnsi="宋体" w:eastAsia="宋体" w:cs="宋体"/>
              <w:sz w:val="30"/>
              <w:szCs w:val="30"/>
            </w:rPr>
            <w:fldChar w:fldCharType="separate"/>
          </w:r>
          <w:r>
            <w:rPr>
              <w:b/>
            </w:rPr>
            <w:t>错误！未定义书签。</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color w:val="auto"/>
              <w:sz w:val="30"/>
              <w:szCs w:val="30"/>
              <w:highlight w:val="none"/>
            </w:rPr>
            <w:fldChar w:fldCharType="begin"/>
          </w:r>
          <w:r>
            <w:rPr>
              <w:rFonts w:hint="eastAsia" w:ascii="宋体" w:hAnsi="宋体" w:eastAsia="宋体" w:cs="宋体"/>
              <w:b/>
              <w:bCs/>
              <w:sz w:val="30"/>
              <w:szCs w:val="30"/>
              <w:highlight w:val="none"/>
            </w:rPr>
            <w:instrText xml:space="preserve"> HYPERLINK \l _Toc24592 </w:instrText>
          </w:r>
          <w:r>
            <w:rPr>
              <w:rFonts w:hint="eastAsia" w:ascii="宋体" w:hAnsi="宋体" w:eastAsia="宋体" w:cs="宋体"/>
              <w:b/>
              <w:bCs/>
              <w:sz w:val="30"/>
              <w:szCs w:val="30"/>
              <w:highlight w:val="none"/>
            </w:rPr>
            <w:fldChar w:fldCharType="separate"/>
          </w:r>
          <w:r>
            <w:rPr>
              <w:rFonts w:hint="eastAsia" w:ascii="宋体" w:hAnsi="宋体" w:eastAsia="宋体" w:cs="宋体"/>
              <w:b/>
              <w:bCs/>
              <w:sz w:val="30"/>
              <w:szCs w:val="30"/>
              <w:highlight w:val="none"/>
            </w:rPr>
            <w:t xml:space="preserve">第二部分 </w:t>
          </w:r>
          <w:r>
            <w:rPr>
              <w:rFonts w:hint="eastAsia" w:ascii="宋体" w:hAnsi="宋体" w:eastAsia="宋体" w:cs="宋体"/>
              <w:b/>
              <w:bCs/>
              <w:sz w:val="30"/>
              <w:szCs w:val="30"/>
              <w:highlight w:val="none"/>
              <w:lang w:val="en-US" w:eastAsia="zh-CN"/>
            </w:rPr>
            <w:t>2022年度</w:t>
          </w:r>
          <w:r>
            <w:rPr>
              <w:rFonts w:hint="eastAsia" w:ascii="宋体" w:hAnsi="宋体" w:eastAsia="宋体" w:cs="宋体"/>
              <w:b/>
              <w:bCs/>
              <w:sz w:val="30"/>
              <w:szCs w:val="30"/>
              <w:highlight w:val="none"/>
              <w:lang w:eastAsia="zh-CN"/>
            </w:rPr>
            <w:t>单位</w:t>
          </w:r>
          <w:r>
            <w:rPr>
              <w:rFonts w:hint="eastAsia" w:ascii="宋体" w:hAnsi="宋体" w:eastAsia="宋体" w:cs="宋体"/>
              <w:b/>
              <w:bCs/>
              <w:sz w:val="30"/>
              <w:szCs w:val="30"/>
              <w:highlight w:val="none"/>
            </w:rPr>
            <w:t>决算情况说明</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_Toc24592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3</w:t>
          </w:r>
          <w:r>
            <w:rPr>
              <w:rFonts w:hint="eastAsia" w:ascii="宋体" w:hAnsi="宋体" w:eastAsia="宋体" w:cs="宋体"/>
              <w:b/>
              <w:bCs/>
              <w:sz w:val="30"/>
              <w:szCs w:val="30"/>
            </w:rPr>
            <w:fldChar w:fldCharType="end"/>
          </w:r>
          <w:r>
            <w:rPr>
              <w:rFonts w:hint="eastAsia" w:ascii="宋体" w:hAnsi="宋体" w:eastAsia="宋体" w:cs="宋体"/>
              <w:b/>
              <w:bCs/>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_Toc29079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rPr>
            <w:t>一、</w:t>
          </w:r>
          <w:r>
            <w:rPr>
              <w:rFonts w:hint="eastAsia" w:ascii="宋体" w:hAnsi="宋体" w:eastAsia="宋体" w:cs="宋体"/>
              <w:sz w:val="30"/>
              <w:szCs w:val="30"/>
              <w:highlight w:val="none"/>
            </w:rPr>
            <w:t>收入支出决算总体情况说明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_Toc29079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_Toc31460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rPr>
            <w:t>二、</w:t>
          </w:r>
          <w:r>
            <w:rPr>
              <w:rFonts w:hint="eastAsia" w:ascii="宋体" w:hAnsi="宋体" w:eastAsia="宋体" w:cs="宋体"/>
              <w:sz w:val="30"/>
              <w:szCs w:val="30"/>
              <w:highlight w:val="none"/>
            </w:rPr>
            <w:t>收入决算情况说明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_Toc31460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_Toc14279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rPr>
            <w:t>三、</w:t>
          </w:r>
          <w:r>
            <w:rPr>
              <w:rFonts w:hint="eastAsia" w:ascii="宋体" w:hAnsi="宋体" w:eastAsia="宋体" w:cs="宋体"/>
              <w:sz w:val="30"/>
              <w:szCs w:val="30"/>
              <w:highlight w:val="none"/>
            </w:rPr>
            <w:t>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_Toc14279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_Toc32621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四、财政拨款收入支出决算总体情况说明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_Toc32621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_Toc21368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五、一般公共预算财政拨款支出决算情况说明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_Toc21368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_Toc9357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六、一般公共预算财政拨款基本支出决算情况说明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_Toc9357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_Toc7963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七、财政拨款“三公”经费支出决算情况说明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_Toc7963 \h </w:instrText>
          </w:r>
          <w:r>
            <w:rPr>
              <w:rFonts w:hint="eastAsia" w:ascii="宋体" w:hAnsi="宋体" w:eastAsia="宋体" w:cs="宋体"/>
              <w:sz w:val="30"/>
              <w:szCs w:val="30"/>
            </w:rPr>
            <w:fldChar w:fldCharType="separate"/>
          </w:r>
          <w:r>
            <w:rPr>
              <w:rFonts w:hint="eastAsia" w:ascii="宋体" w:hAnsi="宋体" w:eastAsia="宋体" w:cs="宋体"/>
              <w:sz w:val="30"/>
              <w:szCs w:val="30"/>
            </w:rPr>
            <w:t>9</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_Toc9661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八、政府性基金预算支出决算情况说明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_Toc9661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_Toc12260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rPr>
            <w:t>九、</w:t>
          </w:r>
          <w:r>
            <w:rPr>
              <w:rFonts w:hint="eastAsia" w:ascii="宋体" w:hAnsi="宋体" w:eastAsia="宋体" w:cs="宋体"/>
              <w:sz w:val="30"/>
              <w:szCs w:val="30"/>
              <w:highlight w:val="none"/>
            </w:rPr>
            <w:t>国有资本经营预算支出决算情况说明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_Toc12260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_Toc29815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rPr>
            <w:t>十、</w:t>
          </w:r>
          <w:r>
            <w:rPr>
              <w:rFonts w:hint="eastAsia" w:ascii="宋体" w:hAnsi="宋体" w:eastAsia="宋体" w:cs="宋体"/>
              <w:sz w:val="30"/>
              <w:szCs w:val="30"/>
              <w:highlight w:val="none"/>
            </w:rPr>
            <w:t>其他重要事项的情况说明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_Toc29815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color w:val="auto"/>
              <w:sz w:val="30"/>
              <w:szCs w:val="30"/>
              <w:highlight w:val="none"/>
            </w:rPr>
            <w:fldChar w:fldCharType="begin"/>
          </w:r>
          <w:r>
            <w:rPr>
              <w:rFonts w:hint="eastAsia" w:ascii="宋体" w:hAnsi="宋体" w:eastAsia="宋体" w:cs="宋体"/>
              <w:b/>
              <w:bCs/>
              <w:sz w:val="30"/>
              <w:szCs w:val="30"/>
              <w:highlight w:val="none"/>
            </w:rPr>
            <w:instrText xml:space="preserve"> HYPERLINK \l _Toc1562 </w:instrText>
          </w:r>
          <w:r>
            <w:rPr>
              <w:rFonts w:hint="eastAsia" w:ascii="宋体" w:hAnsi="宋体" w:eastAsia="宋体" w:cs="宋体"/>
              <w:b/>
              <w:bCs/>
              <w:sz w:val="30"/>
              <w:szCs w:val="30"/>
              <w:highlight w:val="none"/>
            </w:rPr>
            <w:fldChar w:fldCharType="separate"/>
          </w:r>
          <w:r>
            <w:rPr>
              <w:rFonts w:hint="eastAsia" w:ascii="宋体" w:hAnsi="宋体" w:eastAsia="宋体" w:cs="宋体"/>
              <w:b/>
              <w:bCs/>
              <w:sz w:val="30"/>
              <w:szCs w:val="30"/>
            </w:rPr>
            <w:t>第三部分 名词解释</w:t>
          </w:r>
          <w:bookmarkStart w:id="95" w:name="_GoBack"/>
          <w:bookmarkEnd w:id="95"/>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_Toc1562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12</w:t>
          </w:r>
          <w:r>
            <w:rPr>
              <w:rFonts w:hint="eastAsia" w:ascii="宋体" w:hAnsi="宋体" w:eastAsia="宋体" w:cs="宋体"/>
              <w:b/>
              <w:bCs/>
              <w:sz w:val="30"/>
              <w:szCs w:val="30"/>
            </w:rPr>
            <w:fldChar w:fldCharType="end"/>
          </w:r>
          <w:r>
            <w:rPr>
              <w:rFonts w:hint="eastAsia" w:ascii="宋体" w:hAnsi="宋体" w:eastAsia="宋体" w:cs="宋体"/>
              <w:b/>
              <w:bCs/>
              <w:color w:val="auto"/>
              <w:sz w:val="30"/>
              <w:szCs w:val="30"/>
              <w:highlight w:val="none"/>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color w:val="auto"/>
              <w:sz w:val="30"/>
              <w:szCs w:val="30"/>
              <w:highlight w:val="none"/>
            </w:rPr>
            <w:fldChar w:fldCharType="begin"/>
          </w:r>
          <w:r>
            <w:rPr>
              <w:rFonts w:hint="eastAsia" w:ascii="宋体" w:hAnsi="宋体" w:eastAsia="宋体" w:cs="宋体"/>
              <w:b/>
              <w:bCs/>
              <w:sz w:val="30"/>
              <w:szCs w:val="30"/>
              <w:highlight w:val="none"/>
            </w:rPr>
            <w:instrText xml:space="preserve"> HYPERLINK \l _Toc22995 </w:instrText>
          </w:r>
          <w:r>
            <w:rPr>
              <w:rFonts w:hint="eastAsia" w:ascii="宋体" w:hAnsi="宋体" w:eastAsia="宋体" w:cs="宋体"/>
              <w:b/>
              <w:bCs/>
              <w:sz w:val="30"/>
              <w:szCs w:val="30"/>
              <w:highlight w:val="none"/>
            </w:rPr>
            <w:fldChar w:fldCharType="separate"/>
          </w:r>
          <w:r>
            <w:rPr>
              <w:rFonts w:hint="eastAsia" w:ascii="宋体" w:hAnsi="宋体" w:eastAsia="宋体" w:cs="宋体"/>
              <w:b/>
              <w:bCs/>
              <w:sz w:val="30"/>
              <w:szCs w:val="30"/>
              <w:highlight w:val="none"/>
            </w:rPr>
            <w:t>第四部分 附件</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_Toc22995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16</w:t>
          </w:r>
          <w:r>
            <w:rPr>
              <w:rFonts w:hint="eastAsia" w:ascii="宋体" w:hAnsi="宋体" w:eastAsia="宋体" w:cs="宋体"/>
              <w:b/>
              <w:bCs/>
              <w:sz w:val="30"/>
              <w:szCs w:val="30"/>
            </w:rPr>
            <w:fldChar w:fldCharType="end"/>
          </w:r>
          <w:r>
            <w:rPr>
              <w:rFonts w:hint="eastAsia" w:ascii="宋体" w:hAnsi="宋体" w:eastAsia="宋体" w:cs="宋体"/>
              <w:b/>
              <w:bCs/>
              <w:color w:val="auto"/>
              <w:sz w:val="30"/>
              <w:szCs w:val="30"/>
              <w:highlight w:val="none"/>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color w:val="auto"/>
              <w:sz w:val="30"/>
              <w:szCs w:val="30"/>
              <w:highlight w:val="none"/>
            </w:rPr>
            <w:fldChar w:fldCharType="begin"/>
          </w:r>
          <w:r>
            <w:rPr>
              <w:rFonts w:hint="eastAsia" w:ascii="宋体" w:hAnsi="宋体" w:eastAsia="宋体" w:cs="宋体"/>
              <w:b/>
              <w:bCs/>
              <w:sz w:val="30"/>
              <w:szCs w:val="30"/>
              <w:highlight w:val="none"/>
            </w:rPr>
            <w:instrText xml:space="preserve"> HYPERLINK \l _Toc12845 </w:instrText>
          </w:r>
          <w:r>
            <w:rPr>
              <w:rFonts w:hint="eastAsia" w:ascii="宋体" w:hAnsi="宋体" w:eastAsia="宋体" w:cs="宋体"/>
              <w:b/>
              <w:bCs/>
              <w:sz w:val="30"/>
              <w:szCs w:val="30"/>
              <w:highlight w:val="none"/>
            </w:rPr>
            <w:fldChar w:fldCharType="separate"/>
          </w:r>
          <w:r>
            <w:rPr>
              <w:rFonts w:hint="eastAsia" w:ascii="宋体" w:hAnsi="宋体" w:eastAsia="宋体" w:cs="宋体"/>
              <w:b/>
              <w:bCs/>
              <w:sz w:val="30"/>
              <w:szCs w:val="30"/>
              <w:highlight w:val="none"/>
            </w:rPr>
            <w:t>第五部分 附表</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_Toc12845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17</w:t>
          </w:r>
          <w:r>
            <w:rPr>
              <w:rFonts w:hint="eastAsia" w:ascii="宋体" w:hAnsi="宋体" w:eastAsia="宋体" w:cs="宋体"/>
              <w:b/>
              <w:bCs/>
              <w:sz w:val="30"/>
              <w:szCs w:val="30"/>
            </w:rPr>
            <w:fldChar w:fldCharType="end"/>
          </w:r>
          <w:r>
            <w:rPr>
              <w:rFonts w:hint="eastAsia" w:ascii="宋体" w:hAnsi="宋体" w:eastAsia="宋体" w:cs="宋体"/>
              <w:b/>
              <w:bCs/>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_Toc9961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一、收</w:t>
          </w:r>
          <w:r>
            <w:rPr>
              <w:rFonts w:hint="eastAsia" w:ascii="宋体" w:hAnsi="宋体" w:eastAsia="宋体" w:cs="宋体"/>
              <w:bCs w:val="0"/>
              <w:sz w:val="30"/>
              <w:szCs w:val="30"/>
              <w:highlight w:val="none"/>
            </w:rPr>
            <w:t>入支出决算总表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_Toc9961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color w:val="auto"/>
              <w:sz w:val="30"/>
              <w:szCs w:val="30"/>
              <w:highlight w:val="none"/>
            </w:rPr>
            <w:sectPr>
              <w:footerReference r:id="rId6" w:type="default"/>
              <w:pgSz w:w="11906" w:h="16838"/>
              <w:pgMar w:top="1440" w:right="1800" w:bottom="1440" w:left="1800" w:header="851" w:footer="992" w:gutter="0"/>
              <w:pgNumType w:fmt="decimal" w:start="1"/>
              <w:cols w:space="425" w:num="1"/>
              <w:docGrid w:type="lines" w:linePitch="312" w:charSpace="0"/>
            </w:sectPr>
          </w:pP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_Toc31436 </w:instrText>
          </w:r>
          <w:r>
            <w:rPr>
              <w:rFonts w:hint="eastAsia" w:ascii="宋体" w:hAnsi="宋体" w:eastAsia="宋体" w:cs="宋体"/>
              <w:sz w:val="30"/>
              <w:szCs w:val="30"/>
              <w:highlight w:val="none"/>
            </w:rPr>
            <w:fldChar w:fldCharType="separate"/>
          </w:r>
          <w:r>
            <w:rPr>
              <w:rFonts w:hint="eastAsia" w:ascii="宋体" w:hAnsi="宋体" w:eastAsia="宋体" w:cs="宋体"/>
              <w:sz w:val="30"/>
              <w:szCs w:val="30"/>
              <w:highlight w:val="none"/>
            </w:rPr>
            <w:t>二、收</w:t>
          </w:r>
          <w:r>
            <w:rPr>
              <w:rFonts w:hint="eastAsia" w:ascii="宋体" w:hAnsi="宋体" w:eastAsia="宋体" w:cs="宋体"/>
              <w:bCs w:val="0"/>
              <w:sz w:val="30"/>
              <w:szCs w:val="30"/>
              <w:highlight w:val="none"/>
            </w:rPr>
            <w:t>入决算表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_Toc31436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_Toc28627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三、</w:t>
          </w:r>
          <w:r>
            <w:rPr>
              <w:rFonts w:hint="eastAsia" w:ascii="宋体" w:hAnsi="宋体" w:eastAsia="宋体" w:cs="宋体"/>
              <w:sz w:val="30"/>
              <w:szCs w:val="30"/>
              <w:highlight w:val="none"/>
            </w:rPr>
            <w:t>支</w:t>
          </w:r>
          <w:r>
            <w:rPr>
              <w:rFonts w:hint="eastAsia" w:ascii="宋体" w:hAnsi="宋体" w:eastAsia="宋体" w:cs="宋体"/>
              <w:bCs w:val="0"/>
              <w:sz w:val="30"/>
              <w:szCs w:val="30"/>
              <w:highlight w:val="none"/>
            </w:rPr>
            <w:t>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_Toc28627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_Toc27100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四、</w:t>
          </w:r>
          <w:r>
            <w:rPr>
              <w:rFonts w:hint="eastAsia" w:ascii="宋体" w:hAnsi="宋体" w:eastAsia="宋体" w:cs="宋体"/>
              <w:sz w:val="30"/>
              <w:szCs w:val="30"/>
              <w:highlight w:val="none"/>
            </w:rPr>
            <w:t>财</w:t>
          </w:r>
          <w:r>
            <w:rPr>
              <w:rFonts w:hint="eastAsia" w:ascii="宋体" w:hAnsi="宋体" w:eastAsia="宋体" w:cs="宋体"/>
              <w:bCs w:val="0"/>
              <w:sz w:val="30"/>
              <w:szCs w:val="30"/>
              <w:highlight w:val="none"/>
            </w:rPr>
            <w:t>政拨款收入支出决算总表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_Toc27100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_Toc11993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五、</w:t>
          </w:r>
          <w:r>
            <w:rPr>
              <w:rFonts w:hint="eastAsia" w:ascii="宋体" w:hAnsi="宋体" w:eastAsia="宋体" w:cs="宋体"/>
              <w:sz w:val="30"/>
              <w:szCs w:val="30"/>
              <w:highlight w:val="none"/>
            </w:rPr>
            <w:t>财</w:t>
          </w:r>
          <w:r>
            <w:rPr>
              <w:rFonts w:hint="eastAsia" w:ascii="宋体" w:hAnsi="宋体" w:eastAsia="宋体" w:cs="宋体"/>
              <w:bCs w:val="0"/>
              <w:sz w:val="30"/>
              <w:szCs w:val="30"/>
              <w:highlight w:val="none"/>
            </w:rPr>
            <w:t>政拨款支出决算明细表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_Toc11993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_Toc19268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六、</w:t>
          </w:r>
          <w:r>
            <w:rPr>
              <w:rFonts w:hint="eastAsia" w:ascii="宋体" w:hAnsi="宋体" w:eastAsia="宋体" w:cs="宋体"/>
              <w:sz w:val="30"/>
              <w:szCs w:val="30"/>
              <w:highlight w:val="none"/>
            </w:rPr>
            <w:t>一</w:t>
          </w:r>
          <w:r>
            <w:rPr>
              <w:rFonts w:hint="eastAsia" w:ascii="宋体" w:hAnsi="宋体" w:eastAsia="宋体" w:cs="宋体"/>
              <w:bCs w:val="0"/>
              <w:sz w:val="30"/>
              <w:szCs w:val="30"/>
              <w:highlight w:val="none"/>
            </w:rPr>
            <w:t>般公共预算财政拨款支出决算表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_Toc19268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_Toc26057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七、</w:t>
          </w:r>
          <w:r>
            <w:rPr>
              <w:rFonts w:hint="eastAsia" w:ascii="宋体" w:hAnsi="宋体" w:eastAsia="宋体" w:cs="宋体"/>
              <w:sz w:val="30"/>
              <w:szCs w:val="30"/>
              <w:highlight w:val="none"/>
            </w:rPr>
            <w:t>一</w:t>
          </w:r>
          <w:r>
            <w:rPr>
              <w:rFonts w:hint="eastAsia" w:ascii="宋体" w:hAnsi="宋体" w:eastAsia="宋体" w:cs="宋体"/>
              <w:bCs w:val="0"/>
              <w:sz w:val="30"/>
              <w:szCs w:val="30"/>
              <w:highlight w:val="none"/>
            </w:rPr>
            <w:t>般公共预算财政拨款支出决算明细表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_Toc26057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_Toc28956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八、</w:t>
          </w:r>
          <w:r>
            <w:rPr>
              <w:rFonts w:hint="eastAsia" w:ascii="宋体" w:hAnsi="宋体" w:eastAsia="宋体" w:cs="宋体"/>
              <w:sz w:val="30"/>
              <w:szCs w:val="30"/>
              <w:highlight w:val="none"/>
            </w:rPr>
            <w:t>一</w:t>
          </w:r>
          <w:r>
            <w:rPr>
              <w:rFonts w:hint="eastAsia" w:ascii="宋体" w:hAnsi="宋体" w:eastAsia="宋体" w:cs="宋体"/>
              <w:bCs w:val="0"/>
              <w:sz w:val="30"/>
              <w:szCs w:val="30"/>
              <w:highlight w:val="none"/>
            </w:rPr>
            <w:t>般公共预算财政拨款基本支出决算表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_Toc28956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_Toc32749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九、</w:t>
          </w:r>
          <w:r>
            <w:rPr>
              <w:rFonts w:hint="eastAsia" w:ascii="宋体" w:hAnsi="宋体" w:eastAsia="宋体" w:cs="宋体"/>
              <w:sz w:val="30"/>
              <w:szCs w:val="30"/>
              <w:highlight w:val="none"/>
            </w:rPr>
            <w:t>一</w:t>
          </w:r>
          <w:r>
            <w:rPr>
              <w:rFonts w:hint="eastAsia" w:ascii="宋体" w:hAnsi="宋体" w:eastAsia="宋体" w:cs="宋体"/>
              <w:bCs w:val="0"/>
              <w:sz w:val="30"/>
              <w:szCs w:val="30"/>
              <w:highlight w:val="none"/>
            </w:rPr>
            <w:t>般公共预算财政拨款项目支出决算表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_Toc32749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_Toc15562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十、</w:t>
          </w:r>
          <w:r>
            <w:rPr>
              <w:rFonts w:hint="eastAsia" w:ascii="宋体" w:hAnsi="宋体" w:eastAsia="宋体" w:cs="宋体"/>
              <w:sz w:val="30"/>
              <w:szCs w:val="30"/>
              <w:highlight w:val="none"/>
            </w:rPr>
            <w:t>政</w:t>
          </w:r>
          <w:r>
            <w:rPr>
              <w:rFonts w:hint="eastAsia" w:ascii="宋体" w:hAnsi="宋体" w:eastAsia="宋体" w:cs="宋体"/>
              <w:bCs w:val="0"/>
              <w:sz w:val="30"/>
              <w:szCs w:val="30"/>
              <w:highlight w:val="none"/>
            </w:rPr>
            <w:t>府性基金预算财政拨款收入支出决算表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_Toc15562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_Toc5945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十一、</w:t>
          </w:r>
          <w:r>
            <w:rPr>
              <w:rFonts w:hint="eastAsia" w:ascii="宋体" w:hAnsi="宋体" w:eastAsia="宋体" w:cs="宋体"/>
              <w:sz w:val="30"/>
              <w:szCs w:val="30"/>
              <w:highlight w:val="none"/>
            </w:rPr>
            <w:t>国</w:t>
          </w:r>
          <w:r>
            <w:rPr>
              <w:rFonts w:hint="eastAsia" w:ascii="宋体" w:hAnsi="宋体" w:eastAsia="宋体" w:cs="宋体"/>
              <w:bCs w:val="0"/>
              <w:sz w:val="30"/>
              <w:szCs w:val="30"/>
              <w:highlight w:val="none"/>
            </w:rPr>
            <w:t>有资本经营预算</w:t>
          </w:r>
          <w:r>
            <w:rPr>
              <w:rFonts w:hint="eastAsia" w:ascii="宋体" w:hAnsi="宋体" w:eastAsia="宋体" w:cs="宋体"/>
              <w:bCs w:val="0"/>
              <w:sz w:val="30"/>
              <w:szCs w:val="30"/>
              <w:highlight w:val="none"/>
              <w:lang w:eastAsia="zh-CN"/>
            </w:rPr>
            <w:t>财政拨款收入</w:t>
          </w:r>
          <w:r>
            <w:rPr>
              <w:rFonts w:hint="eastAsia" w:ascii="宋体" w:hAnsi="宋体" w:eastAsia="宋体" w:cs="宋体"/>
              <w:bCs w:val="0"/>
              <w:sz w:val="30"/>
              <w:szCs w:val="30"/>
              <w:highlight w:val="none"/>
            </w:rPr>
            <w:t>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_Toc5945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rPr>
              <w:rFonts w:hint="eastAsia" w:ascii="宋体" w:hAnsi="宋体" w:eastAsia="宋体" w:cs="宋体"/>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_Toc11790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十二、</w:t>
          </w:r>
          <w:r>
            <w:rPr>
              <w:rFonts w:hint="eastAsia" w:ascii="宋体" w:hAnsi="宋体" w:eastAsia="宋体" w:cs="宋体"/>
              <w:bCs w:val="0"/>
              <w:sz w:val="30"/>
              <w:szCs w:val="30"/>
              <w:highlight w:val="none"/>
              <w:lang w:eastAsia="zh-CN"/>
            </w:rPr>
            <w:t>国有资本经营预算财政拨款支出决算表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_Toc11790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14"/>
            <w:tabs>
              <w:tab w:val="right" w:leader="dot" w:pos="8306"/>
              <w:tab w:val="clear" w:pos="8296"/>
            </w:tabs>
          </w:pPr>
          <w:r>
            <w:rPr>
              <w:rFonts w:hint="eastAsia" w:ascii="宋体" w:hAnsi="宋体" w:eastAsia="宋体" w:cs="宋体"/>
              <w:color w:val="auto"/>
              <w:sz w:val="30"/>
              <w:szCs w:val="30"/>
              <w:highlight w:val="none"/>
            </w:rPr>
            <w:fldChar w:fldCharType="begin"/>
          </w:r>
          <w:r>
            <w:rPr>
              <w:rFonts w:hint="eastAsia" w:ascii="宋体" w:hAnsi="宋体" w:eastAsia="宋体" w:cs="宋体"/>
              <w:sz w:val="30"/>
              <w:szCs w:val="30"/>
              <w:highlight w:val="none"/>
            </w:rPr>
            <w:instrText xml:space="preserve"> HYPERLINK \l _Toc11159 </w:instrText>
          </w:r>
          <w:r>
            <w:rPr>
              <w:rFonts w:hint="eastAsia" w:ascii="宋体" w:hAnsi="宋体" w:eastAsia="宋体" w:cs="宋体"/>
              <w:sz w:val="30"/>
              <w:szCs w:val="30"/>
              <w:highlight w:val="none"/>
            </w:rPr>
            <w:fldChar w:fldCharType="separate"/>
          </w:r>
          <w:r>
            <w:rPr>
              <w:rFonts w:hint="eastAsia" w:ascii="宋体" w:hAnsi="宋体" w:eastAsia="宋体" w:cs="宋体"/>
              <w:bCs w:val="0"/>
              <w:sz w:val="30"/>
              <w:szCs w:val="30"/>
              <w:highlight w:val="none"/>
            </w:rPr>
            <w:t>十三、</w:t>
          </w:r>
          <w:r>
            <w:rPr>
              <w:rFonts w:hint="eastAsia" w:ascii="宋体" w:hAnsi="宋体" w:eastAsia="宋体" w:cs="宋体"/>
              <w:bCs w:val="0"/>
              <w:sz w:val="30"/>
              <w:szCs w:val="30"/>
              <w:highlight w:val="none"/>
              <w:lang w:eastAsia="zh-CN"/>
            </w:rPr>
            <w:t>财政拨款“三公”经费支出决算表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_Toc11159 \h </w:instrText>
          </w:r>
          <w:r>
            <w:rPr>
              <w:rFonts w:hint="eastAsia" w:ascii="宋体" w:hAnsi="宋体" w:eastAsia="宋体" w:cs="宋体"/>
              <w:sz w:val="30"/>
              <w:szCs w:val="30"/>
            </w:rPr>
            <w:fldChar w:fldCharType="separate"/>
          </w:r>
          <w:r>
            <w:rPr>
              <w:rFonts w:hint="eastAsia" w:ascii="宋体" w:hAnsi="宋体" w:eastAsia="宋体" w:cs="宋体"/>
              <w:sz w:val="30"/>
              <w:szCs w:val="30"/>
            </w:rPr>
            <w:t>17</w:t>
          </w:r>
          <w:r>
            <w:rPr>
              <w:rFonts w:hint="eastAsia" w:ascii="宋体" w:hAnsi="宋体" w:eastAsia="宋体" w:cs="宋体"/>
              <w:sz w:val="30"/>
              <w:szCs w:val="30"/>
            </w:rPr>
            <w:fldChar w:fldCharType="end"/>
          </w:r>
          <w:r>
            <w:rPr>
              <w:rFonts w:hint="eastAsia" w:ascii="宋体" w:hAnsi="宋体" w:eastAsia="宋体" w:cs="宋体"/>
              <w:color w:val="auto"/>
              <w:sz w:val="30"/>
              <w:szCs w:val="30"/>
              <w:highlight w:val="none"/>
            </w:rPr>
            <w:fldChar w:fldCharType="end"/>
          </w:r>
        </w:p>
        <w:p>
          <w:pPr>
            <w:pStyle w:val="4"/>
            <w:jc w:val="both"/>
            <w:outlineLvl w:val="9"/>
            <w:rPr>
              <w:rFonts w:hint="eastAsia" w:ascii="黑体" w:hAnsi="黑体" w:eastAsia="黑体"/>
              <w:b w:val="0"/>
              <w:color w:val="auto"/>
              <w:highlight w:val="none"/>
            </w:rPr>
            <w:sectPr>
              <w:footerReference r:id="rId7" w:type="default"/>
              <w:pgSz w:w="11906" w:h="16838"/>
              <w:pgMar w:top="1440" w:right="1800" w:bottom="1440" w:left="1800" w:header="851" w:footer="992" w:gutter="0"/>
              <w:pgNumType w:fmt="decimal" w:start="1"/>
              <w:cols w:space="425" w:num="1"/>
              <w:docGrid w:type="lines" w:linePitch="312" w:charSpace="0"/>
            </w:sectPr>
          </w:pPr>
          <w:r>
            <w:rPr>
              <w:rFonts w:hint="eastAsia" w:ascii="黑体" w:hAnsi="黑体" w:eastAsia="黑体"/>
              <w:color w:val="auto"/>
              <w:highlight w:val="none"/>
            </w:rPr>
            <w:fldChar w:fldCharType="end"/>
          </w:r>
        </w:p>
      </w:sdtContent>
    </w:sdt>
    <w:p>
      <w:pPr>
        <w:pStyle w:val="4"/>
        <w:jc w:val="center"/>
        <w:rPr>
          <w:rFonts w:ascii="黑体" w:eastAsia="黑体"/>
          <w:color w:val="auto"/>
          <w:sz w:val="32"/>
          <w:szCs w:val="32"/>
          <w:highlight w:val="none"/>
        </w:rPr>
      </w:pPr>
      <w:bookmarkStart w:id="13" w:name="_Toc32102"/>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9"/>
          <w:rFonts w:hint="eastAsia" w:ascii="黑体" w:hAnsi="黑体" w:eastAsia="黑体"/>
          <w:b w:val="0"/>
          <w:bCs w:val="0"/>
          <w:color w:val="auto"/>
          <w:highlight w:val="none"/>
        </w:rPr>
        <w:t>概况</w:t>
      </w:r>
      <w:bookmarkEnd w:id="11"/>
      <w:bookmarkEnd w:id="12"/>
      <w:bookmarkEnd w:id="13"/>
    </w:p>
    <w:p>
      <w:pPr>
        <w:pStyle w:val="5"/>
        <w:numPr>
          <w:ilvl w:val="0"/>
          <w:numId w:val="1"/>
        </w:numPr>
        <w:rPr>
          <w:rStyle w:val="30"/>
          <w:rFonts w:hint="eastAsia" w:ascii="黑体" w:hAnsi="黑体" w:eastAsia="黑体"/>
          <w:b w:val="0"/>
          <w:bCs w:val="0"/>
          <w:color w:val="auto"/>
          <w:highlight w:val="none"/>
          <w:lang w:eastAsia="zh-CN"/>
        </w:rPr>
      </w:pPr>
      <w:bookmarkStart w:id="14" w:name="_Toc15860"/>
      <w:bookmarkStart w:id="15" w:name="_Toc15377197"/>
      <w:bookmarkStart w:id="16" w:name="_Toc15396600"/>
      <w:r>
        <w:rPr>
          <w:rStyle w:val="30"/>
          <w:rFonts w:hint="eastAsia" w:ascii="黑体" w:hAnsi="黑体" w:eastAsia="黑体"/>
          <w:b w:val="0"/>
          <w:bCs w:val="0"/>
          <w:color w:val="auto"/>
          <w:highlight w:val="none"/>
          <w:lang w:eastAsia="zh-CN"/>
        </w:rPr>
        <w:t>主要职责</w:t>
      </w:r>
      <w:bookmarkEnd w:id="14"/>
    </w:p>
    <w:p>
      <w:pPr>
        <w:spacing w:line="600" w:lineRule="exact"/>
        <w:ind w:firstLine="640" w:firstLineChars="200"/>
        <w:rPr>
          <w:rFonts w:ascii="仿宋" w:hAnsi="仿宋" w:eastAsia="仿宋"/>
          <w:sz w:val="32"/>
          <w:szCs w:val="32"/>
        </w:rPr>
      </w:pPr>
      <w:r>
        <w:rPr>
          <w:rFonts w:hint="eastAsia" w:ascii="仿宋" w:hAnsi="仿宋" w:eastAsia="仿宋"/>
          <w:sz w:val="32"/>
          <w:szCs w:val="32"/>
        </w:rPr>
        <w:t>1、承担</w:t>
      </w:r>
      <w:r>
        <w:rPr>
          <w:rFonts w:ascii="仿宋" w:hAnsi="仿宋" w:eastAsia="仿宋"/>
          <w:sz w:val="32"/>
          <w:szCs w:val="32"/>
        </w:rPr>
        <w:t>利州区精神卫生防治工作，承担全市范围、川东北区域精神病防治</w:t>
      </w:r>
      <w:r>
        <w:rPr>
          <w:rFonts w:hint="eastAsia" w:ascii="仿宋" w:hAnsi="仿宋" w:eastAsia="仿宋"/>
          <w:sz w:val="32"/>
          <w:szCs w:val="32"/>
        </w:rPr>
        <w:t>与</w:t>
      </w:r>
      <w:r>
        <w:rPr>
          <w:rFonts w:ascii="仿宋" w:hAnsi="仿宋" w:eastAsia="仿宋"/>
          <w:sz w:val="32"/>
          <w:szCs w:val="32"/>
        </w:rPr>
        <w:t>康复、科研教学指导、</w:t>
      </w:r>
      <w:r>
        <w:rPr>
          <w:rFonts w:hint="eastAsia" w:ascii="仿宋" w:hAnsi="仿宋" w:eastAsia="仿宋"/>
          <w:sz w:val="32"/>
          <w:szCs w:val="32"/>
        </w:rPr>
        <w:t>规范化</w:t>
      </w:r>
      <w:r>
        <w:rPr>
          <w:rFonts w:ascii="仿宋" w:hAnsi="仿宋" w:eastAsia="仿宋"/>
          <w:sz w:val="32"/>
          <w:szCs w:val="32"/>
        </w:rPr>
        <w:t>管理与培训和双向</w:t>
      </w:r>
      <w:r>
        <w:rPr>
          <w:rFonts w:hint="eastAsia" w:ascii="仿宋" w:hAnsi="仿宋" w:eastAsia="仿宋"/>
          <w:sz w:val="32"/>
          <w:szCs w:val="32"/>
        </w:rPr>
        <w:t>转诊</w:t>
      </w:r>
      <w:r>
        <w:rPr>
          <w:rFonts w:ascii="仿宋" w:hAnsi="仿宋" w:eastAsia="仿宋"/>
          <w:sz w:val="32"/>
          <w:szCs w:val="32"/>
        </w:rPr>
        <w:t>等任务。</w:t>
      </w:r>
    </w:p>
    <w:p>
      <w:pPr>
        <w:pStyle w:val="2"/>
        <w:spacing w:beforeLines="0" w:line="600" w:lineRule="exact"/>
        <w:ind w:firstLine="640" w:firstLineChars="200"/>
        <w:rPr>
          <w:rFonts w:ascii="仿宋" w:hAnsi="仿宋" w:eastAsia="仿宋"/>
          <w:kern w:val="2"/>
          <w:sz w:val="32"/>
          <w:szCs w:val="32"/>
        </w:rPr>
      </w:pPr>
      <w:r>
        <w:rPr>
          <w:rFonts w:ascii="仿宋" w:hAnsi="仿宋" w:eastAsia="仿宋"/>
          <w:kern w:val="2"/>
          <w:sz w:val="32"/>
          <w:szCs w:val="32"/>
        </w:rPr>
        <w:t>2</w:t>
      </w:r>
      <w:r>
        <w:rPr>
          <w:rFonts w:hint="eastAsia" w:ascii="仿宋" w:hAnsi="仿宋" w:eastAsia="仿宋"/>
          <w:kern w:val="2"/>
          <w:sz w:val="32"/>
          <w:szCs w:val="32"/>
        </w:rPr>
        <w:t>、为</w:t>
      </w:r>
      <w:r>
        <w:rPr>
          <w:rFonts w:ascii="仿宋" w:hAnsi="仿宋" w:eastAsia="仿宋"/>
          <w:kern w:val="2"/>
          <w:sz w:val="32"/>
          <w:szCs w:val="32"/>
        </w:rPr>
        <w:t>川陕甘毗邻地区人民群众</w:t>
      </w:r>
      <w:r>
        <w:rPr>
          <w:rFonts w:hint="eastAsia" w:ascii="仿宋" w:hAnsi="仿宋" w:eastAsia="仿宋"/>
          <w:kern w:val="2"/>
          <w:sz w:val="32"/>
          <w:szCs w:val="32"/>
        </w:rPr>
        <w:t>提供</w:t>
      </w:r>
      <w:r>
        <w:rPr>
          <w:rFonts w:ascii="仿宋" w:hAnsi="仿宋" w:eastAsia="仿宋"/>
          <w:kern w:val="2"/>
          <w:sz w:val="32"/>
          <w:szCs w:val="32"/>
        </w:rPr>
        <w:t>全方位全生命周期健康服务，承担</w:t>
      </w:r>
      <w:r>
        <w:rPr>
          <w:rFonts w:hint="eastAsia" w:ascii="仿宋" w:hAnsi="仿宋" w:eastAsia="仿宋"/>
          <w:kern w:val="2"/>
          <w:sz w:val="32"/>
          <w:szCs w:val="32"/>
        </w:rPr>
        <w:t>辖区</w:t>
      </w:r>
      <w:r>
        <w:rPr>
          <w:rFonts w:ascii="仿宋" w:hAnsi="仿宋" w:eastAsia="仿宋"/>
          <w:kern w:val="2"/>
          <w:sz w:val="32"/>
          <w:szCs w:val="32"/>
        </w:rPr>
        <w:t>内居民日常医疗</w:t>
      </w:r>
      <w:r>
        <w:rPr>
          <w:rFonts w:hint="eastAsia" w:ascii="仿宋" w:hAnsi="仿宋" w:eastAsia="仿宋"/>
          <w:kern w:val="2"/>
          <w:sz w:val="32"/>
          <w:szCs w:val="32"/>
        </w:rPr>
        <w:t>、</w:t>
      </w:r>
      <w:r>
        <w:rPr>
          <w:rFonts w:ascii="仿宋" w:hAnsi="仿宋" w:eastAsia="仿宋"/>
          <w:kern w:val="2"/>
          <w:sz w:val="32"/>
          <w:szCs w:val="32"/>
        </w:rPr>
        <w:t>急危重症和</w:t>
      </w:r>
      <w:r>
        <w:rPr>
          <w:rFonts w:hint="eastAsia" w:ascii="仿宋" w:hAnsi="仿宋" w:eastAsia="仿宋"/>
          <w:kern w:val="2"/>
          <w:sz w:val="32"/>
          <w:szCs w:val="32"/>
        </w:rPr>
        <w:t>疑难</w:t>
      </w:r>
      <w:r>
        <w:rPr>
          <w:rFonts w:ascii="仿宋" w:hAnsi="仿宋" w:eastAsia="仿宋"/>
          <w:kern w:val="2"/>
          <w:sz w:val="32"/>
          <w:szCs w:val="32"/>
        </w:rPr>
        <w:t>病症诊治任务</w:t>
      </w:r>
      <w:r>
        <w:rPr>
          <w:rFonts w:hint="eastAsia" w:ascii="仿宋" w:hAnsi="仿宋" w:eastAsia="仿宋"/>
          <w:kern w:val="2"/>
          <w:sz w:val="32"/>
          <w:szCs w:val="32"/>
        </w:rPr>
        <w:t>；</w:t>
      </w:r>
      <w:r>
        <w:rPr>
          <w:rFonts w:ascii="仿宋" w:hAnsi="仿宋" w:eastAsia="仿宋"/>
          <w:kern w:val="2"/>
          <w:sz w:val="32"/>
          <w:szCs w:val="32"/>
        </w:rPr>
        <w:t>承担辖区</w:t>
      </w:r>
      <w:r>
        <w:rPr>
          <w:rFonts w:hint="eastAsia" w:ascii="仿宋" w:hAnsi="仿宋" w:eastAsia="仿宋"/>
          <w:kern w:val="2"/>
          <w:sz w:val="32"/>
          <w:szCs w:val="32"/>
        </w:rPr>
        <w:t>灾害</w:t>
      </w:r>
      <w:r>
        <w:rPr>
          <w:rFonts w:ascii="仿宋" w:hAnsi="仿宋" w:eastAsia="仿宋"/>
          <w:kern w:val="2"/>
          <w:sz w:val="32"/>
          <w:szCs w:val="32"/>
        </w:rPr>
        <w:t>事故的</w:t>
      </w:r>
      <w:r>
        <w:rPr>
          <w:rFonts w:hint="eastAsia" w:ascii="仿宋" w:hAnsi="仿宋" w:eastAsia="仿宋"/>
          <w:kern w:val="2"/>
          <w:sz w:val="32"/>
          <w:szCs w:val="32"/>
        </w:rPr>
        <w:t>紧急</w:t>
      </w:r>
      <w:r>
        <w:rPr>
          <w:rFonts w:ascii="仿宋" w:hAnsi="仿宋" w:eastAsia="仿宋"/>
          <w:kern w:val="2"/>
          <w:sz w:val="32"/>
          <w:szCs w:val="32"/>
        </w:rPr>
        <w:t>救援、院前急救任务和疾病预防控制</w:t>
      </w:r>
      <w:r>
        <w:rPr>
          <w:rFonts w:hint="eastAsia" w:ascii="仿宋" w:hAnsi="仿宋" w:eastAsia="仿宋"/>
          <w:kern w:val="2"/>
          <w:sz w:val="32"/>
          <w:szCs w:val="32"/>
        </w:rPr>
        <w:t>、</w:t>
      </w:r>
      <w:r>
        <w:rPr>
          <w:rFonts w:ascii="仿宋" w:hAnsi="仿宋" w:eastAsia="仿宋"/>
          <w:kern w:val="2"/>
          <w:sz w:val="32"/>
          <w:szCs w:val="32"/>
        </w:rPr>
        <w:t>妇幼保健、健康教育促进等基本公共卫生服务。</w:t>
      </w:r>
    </w:p>
    <w:p>
      <w:pPr>
        <w:pStyle w:val="2"/>
        <w:spacing w:beforeLines="0" w:line="600" w:lineRule="exact"/>
        <w:ind w:firstLine="640" w:firstLineChars="200"/>
        <w:rPr>
          <w:rFonts w:ascii="仿宋" w:hAnsi="仿宋" w:eastAsia="仿宋"/>
          <w:kern w:val="2"/>
          <w:sz w:val="32"/>
          <w:szCs w:val="32"/>
        </w:rPr>
      </w:pPr>
      <w:r>
        <w:rPr>
          <w:rFonts w:ascii="仿宋" w:hAnsi="仿宋" w:eastAsia="仿宋"/>
          <w:kern w:val="2"/>
          <w:sz w:val="32"/>
          <w:szCs w:val="32"/>
        </w:rPr>
        <w:t>3</w:t>
      </w:r>
      <w:r>
        <w:rPr>
          <w:rFonts w:hint="eastAsia" w:ascii="仿宋" w:hAnsi="仿宋" w:eastAsia="仿宋"/>
          <w:kern w:val="2"/>
          <w:sz w:val="32"/>
          <w:szCs w:val="32"/>
        </w:rPr>
        <w:t>、</w:t>
      </w:r>
      <w:r>
        <w:rPr>
          <w:rFonts w:ascii="仿宋" w:hAnsi="仿宋" w:eastAsia="仿宋"/>
          <w:kern w:val="2"/>
          <w:sz w:val="32"/>
          <w:szCs w:val="32"/>
        </w:rPr>
        <w:t>承担利州区</w:t>
      </w:r>
      <w:r>
        <w:rPr>
          <w:rFonts w:hint="eastAsia" w:ascii="仿宋" w:hAnsi="仿宋" w:eastAsia="仿宋"/>
          <w:kern w:val="2"/>
          <w:sz w:val="32"/>
          <w:szCs w:val="32"/>
        </w:rPr>
        <w:t>传染病</w:t>
      </w:r>
      <w:r>
        <w:rPr>
          <w:rFonts w:ascii="仿宋" w:hAnsi="仿宋" w:eastAsia="仿宋"/>
          <w:kern w:val="2"/>
          <w:sz w:val="32"/>
          <w:szCs w:val="32"/>
        </w:rPr>
        <w:t>防治工作</w:t>
      </w:r>
      <w:r>
        <w:rPr>
          <w:rFonts w:hint="eastAsia" w:ascii="仿宋" w:hAnsi="仿宋" w:eastAsia="仿宋"/>
          <w:kern w:val="2"/>
          <w:sz w:val="32"/>
          <w:szCs w:val="32"/>
        </w:rPr>
        <w:t>、</w:t>
      </w:r>
      <w:r>
        <w:rPr>
          <w:rFonts w:ascii="仿宋" w:hAnsi="仿宋" w:eastAsia="仿宋"/>
          <w:kern w:val="2"/>
          <w:sz w:val="32"/>
          <w:szCs w:val="32"/>
        </w:rPr>
        <w:t>市城内传染病重症救治、科研教学指导、规范管理和双向转诊以及</w:t>
      </w:r>
      <w:r>
        <w:rPr>
          <w:rFonts w:hint="eastAsia" w:ascii="仿宋" w:hAnsi="仿宋" w:eastAsia="仿宋"/>
          <w:kern w:val="2"/>
          <w:sz w:val="32"/>
          <w:szCs w:val="32"/>
        </w:rPr>
        <w:t>新</w:t>
      </w:r>
      <w:r>
        <w:rPr>
          <w:rFonts w:ascii="仿宋" w:hAnsi="仿宋" w:eastAsia="仿宋"/>
          <w:kern w:val="2"/>
          <w:sz w:val="32"/>
          <w:szCs w:val="32"/>
        </w:rPr>
        <w:t>发</w:t>
      </w:r>
      <w:r>
        <w:rPr>
          <w:rFonts w:hint="eastAsia" w:ascii="仿宋" w:hAnsi="仿宋" w:eastAsia="仿宋"/>
          <w:kern w:val="2"/>
          <w:sz w:val="32"/>
          <w:szCs w:val="32"/>
        </w:rPr>
        <w:t>突发</w:t>
      </w:r>
      <w:r>
        <w:rPr>
          <w:rFonts w:ascii="仿宋" w:hAnsi="仿宋" w:eastAsia="仿宋"/>
          <w:kern w:val="2"/>
          <w:sz w:val="32"/>
          <w:szCs w:val="32"/>
        </w:rPr>
        <w:t>传染病应急处置等任务。</w:t>
      </w:r>
    </w:p>
    <w:p>
      <w:pPr>
        <w:pStyle w:val="2"/>
        <w:spacing w:beforeLines="0" w:line="600" w:lineRule="exact"/>
        <w:ind w:firstLine="640" w:firstLineChars="200"/>
        <w:rPr>
          <w:rFonts w:ascii="仿宋" w:hAnsi="仿宋" w:eastAsia="仿宋"/>
          <w:kern w:val="2"/>
          <w:sz w:val="32"/>
          <w:szCs w:val="32"/>
        </w:rPr>
      </w:pPr>
      <w:r>
        <w:rPr>
          <w:rFonts w:ascii="仿宋" w:hAnsi="仿宋" w:eastAsia="仿宋"/>
          <w:kern w:val="2"/>
          <w:sz w:val="32"/>
          <w:szCs w:val="32"/>
        </w:rPr>
        <w:t>4</w:t>
      </w:r>
      <w:r>
        <w:rPr>
          <w:rFonts w:hint="eastAsia" w:ascii="仿宋" w:hAnsi="仿宋" w:eastAsia="仿宋"/>
          <w:kern w:val="2"/>
          <w:sz w:val="32"/>
          <w:szCs w:val="32"/>
        </w:rPr>
        <w:t>、承担</w:t>
      </w:r>
      <w:r>
        <w:rPr>
          <w:rFonts w:ascii="仿宋" w:hAnsi="仿宋" w:eastAsia="仿宋"/>
          <w:kern w:val="2"/>
          <w:sz w:val="32"/>
          <w:szCs w:val="32"/>
        </w:rPr>
        <w:t>利州区医疗救治工作及基层医疗卫生机构业务指导、技术</w:t>
      </w:r>
      <w:r>
        <w:rPr>
          <w:rFonts w:hint="eastAsia" w:ascii="仿宋" w:hAnsi="仿宋" w:eastAsia="仿宋"/>
          <w:kern w:val="2"/>
          <w:sz w:val="32"/>
          <w:szCs w:val="32"/>
        </w:rPr>
        <w:t>帮带</w:t>
      </w:r>
      <w:r>
        <w:rPr>
          <w:rFonts w:ascii="仿宋" w:hAnsi="仿宋" w:eastAsia="仿宋"/>
          <w:kern w:val="2"/>
          <w:sz w:val="32"/>
          <w:szCs w:val="32"/>
        </w:rPr>
        <w:t>、人才培养、质量控制、医疗</w:t>
      </w:r>
      <w:r>
        <w:rPr>
          <w:rFonts w:hint="eastAsia" w:ascii="仿宋" w:hAnsi="仿宋" w:eastAsia="仿宋"/>
          <w:kern w:val="2"/>
          <w:sz w:val="32"/>
          <w:szCs w:val="32"/>
        </w:rPr>
        <w:t>体</w:t>
      </w:r>
      <w:r>
        <w:rPr>
          <w:rFonts w:ascii="仿宋" w:hAnsi="仿宋" w:eastAsia="仿宋"/>
          <w:kern w:val="2"/>
          <w:sz w:val="32"/>
          <w:szCs w:val="32"/>
        </w:rPr>
        <w:t>建设、分级</w:t>
      </w:r>
      <w:r>
        <w:rPr>
          <w:rFonts w:hint="eastAsia" w:ascii="仿宋" w:hAnsi="仿宋" w:eastAsia="仿宋"/>
          <w:kern w:val="2"/>
          <w:sz w:val="32"/>
          <w:szCs w:val="32"/>
        </w:rPr>
        <w:t>诊疗</w:t>
      </w:r>
      <w:r>
        <w:rPr>
          <w:rFonts w:ascii="仿宋" w:hAnsi="仿宋" w:eastAsia="仿宋"/>
          <w:kern w:val="2"/>
          <w:sz w:val="32"/>
          <w:szCs w:val="32"/>
        </w:rPr>
        <w:t>和对口支援等任务。</w:t>
      </w:r>
    </w:p>
    <w:p>
      <w:pPr>
        <w:pStyle w:val="2"/>
        <w:spacing w:beforeLines="0" w:line="600" w:lineRule="exact"/>
        <w:ind w:firstLine="640" w:firstLineChars="200"/>
        <w:rPr>
          <w:rFonts w:ascii="仿宋" w:hAnsi="仿宋" w:eastAsia="仿宋"/>
          <w:kern w:val="2"/>
          <w:sz w:val="32"/>
          <w:szCs w:val="32"/>
        </w:rPr>
      </w:pPr>
      <w:r>
        <w:rPr>
          <w:rFonts w:ascii="仿宋" w:hAnsi="仿宋" w:eastAsia="仿宋"/>
          <w:kern w:val="2"/>
          <w:sz w:val="32"/>
          <w:szCs w:val="32"/>
        </w:rPr>
        <w:t>5</w:t>
      </w:r>
      <w:r>
        <w:rPr>
          <w:rFonts w:hint="eastAsia" w:ascii="仿宋" w:hAnsi="仿宋" w:eastAsia="仿宋"/>
          <w:kern w:val="2"/>
          <w:sz w:val="32"/>
          <w:szCs w:val="32"/>
        </w:rPr>
        <w:t>、</w:t>
      </w:r>
      <w:r>
        <w:rPr>
          <w:rFonts w:ascii="仿宋" w:hAnsi="仿宋" w:eastAsia="仿宋"/>
          <w:kern w:val="2"/>
          <w:sz w:val="32"/>
          <w:szCs w:val="32"/>
        </w:rPr>
        <w:t>承担川东北省级区域精神卫生中心相关</w:t>
      </w:r>
      <w:r>
        <w:rPr>
          <w:rFonts w:hint="eastAsia" w:ascii="仿宋" w:hAnsi="仿宋" w:eastAsia="仿宋"/>
          <w:kern w:val="2"/>
          <w:sz w:val="32"/>
          <w:szCs w:val="32"/>
        </w:rPr>
        <w:t>职能</w:t>
      </w:r>
      <w:r>
        <w:rPr>
          <w:rFonts w:ascii="仿宋" w:hAnsi="仿宋" w:eastAsia="仿宋"/>
          <w:kern w:val="2"/>
          <w:sz w:val="32"/>
          <w:szCs w:val="32"/>
        </w:rPr>
        <w:t>，全市传染病、老年病防治基地及专科业务指导、技术帮带、人才培</w:t>
      </w:r>
      <w:r>
        <w:rPr>
          <w:rFonts w:hint="eastAsia" w:ascii="仿宋" w:hAnsi="仿宋" w:eastAsia="仿宋"/>
          <w:kern w:val="2"/>
          <w:sz w:val="32"/>
          <w:szCs w:val="32"/>
        </w:rPr>
        <w:t>养</w:t>
      </w:r>
      <w:r>
        <w:rPr>
          <w:rFonts w:ascii="仿宋" w:hAnsi="仿宋" w:eastAsia="仿宋"/>
          <w:kern w:val="2"/>
          <w:sz w:val="32"/>
          <w:szCs w:val="32"/>
        </w:rPr>
        <w:t>、质量控制、医联体建设、分级诊疗和对口支援等任务。</w:t>
      </w:r>
    </w:p>
    <w:p>
      <w:pPr>
        <w:pStyle w:val="2"/>
        <w:spacing w:beforeLines="0" w:line="600" w:lineRule="exact"/>
        <w:ind w:firstLine="640" w:firstLineChars="200"/>
        <w:rPr>
          <w:rFonts w:hint="eastAsia" w:ascii="仿宋" w:hAnsi="仿宋" w:eastAsia="仿宋"/>
          <w:kern w:val="2"/>
          <w:sz w:val="32"/>
          <w:szCs w:val="32"/>
          <w:lang w:eastAsia="zh-CN"/>
        </w:rPr>
      </w:pPr>
      <w:r>
        <w:rPr>
          <w:rFonts w:ascii="仿宋" w:hAnsi="仿宋" w:eastAsia="仿宋"/>
          <w:kern w:val="2"/>
          <w:sz w:val="32"/>
          <w:szCs w:val="32"/>
        </w:rPr>
        <w:t>6</w:t>
      </w:r>
      <w:r>
        <w:rPr>
          <w:rFonts w:hint="eastAsia" w:ascii="仿宋" w:hAnsi="仿宋" w:eastAsia="仿宋"/>
          <w:kern w:val="2"/>
          <w:sz w:val="32"/>
          <w:szCs w:val="32"/>
        </w:rPr>
        <w:t>、承担</w:t>
      </w:r>
      <w:r>
        <w:rPr>
          <w:rFonts w:ascii="仿宋" w:hAnsi="仿宋" w:eastAsia="仿宋"/>
          <w:kern w:val="2"/>
          <w:sz w:val="32"/>
          <w:szCs w:val="32"/>
        </w:rPr>
        <w:t>高等医学院校的基地班教学、学生</w:t>
      </w:r>
      <w:r>
        <w:rPr>
          <w:rFonts w:hint="eastAsia" w:ascii="仿宋" w:hAnsi="仿宋" w:eastAsia="仿宋"/>
          <w:kern w:val="2"/>
          <w:sz w:val="32"/>
          <w:szCs w:val="32"/>
        </w:rPr>
        <w:t>临床</w:t>
      </w:r>
      <w:r>
        <w:rPr>
          <w:rFonts w:ascii="仿宋" w:hAnsi="仿宋" w:eastAsia="仿宋"/>
          <w:kern w:val="2"/>
          <w:sz w:val="32"/>
          <w:szCs w:val="32"/>
        </w:rPr>
        <w:t>见</w:t>
      </w:r>
      <w:r>
        <w:rPr>
          <w:rFonts w:hint="eastAsia" w:ascii="仿宋" w:hAnsi="仿宋" w:eastAsia="仿宋"/>
          <w:kern w:val="2"/>
          <w:sz w:val="32"/>
          <w:szCs w:val="32"/>
        </w:rPr>
        <w:t>实习</w:t>
      </w:r>
      <w:r>
        <w:rPr>
          <w:rFonts w:ascii="仿宋" w:hAnsi="仿宋" w:eastAsia="仿宋"/>
          <w:kern w:val="2"/>
          <w:sz w:val="32"/>
          <w:szCs w:val="32"/>
        </w:rPr>
        <w:t>、医师护师</w:t>
      </w:r>
      <w:r>
        <w:rPr>
          <w:rFonts w:hint="eastAsia" w:ascii="仿宋" w:hAnsi="仿宋" w:eastAsia="仿宋"/>
          <w:kern w:val="2"/>
          <w:sz w:val="32"/>
          <w:szCs w:val="32"/>
        </w:rPr>
        <w:t>规范培训</w:t>
      </w:r>
      <w:r>
        <w:rPr>
          <w:rFonts w:ascii="仿宋" w:hAnsi="仿宋" w:eastAsia="仿宋"/>
          <w:kern w:val="2"/>
          <w:sz w:val="32"/>
          <w:szCs w:val="32"/>
        </w:rPr>
        <w:t>、专科医师转岗培训以及各类继续医学教育等任务</w:t>
      </w:r>
      <w:r>
        <w:rPr>
          <w:rFonts w:hint="eastAsia" w:ascii="仿宋" w:hAnsi="仿宋" w:eastAsia="仿宋"/>
          <w:kern w:val="2"/>
          <w:sz w:val="32"/>
          <w:szCs w:val="32"/>
          <w:lang w:eastAsia="zh-CN"/>
        </w:rPr>
        <w:t>。</w:t>
      </w:r>
    </w:p>
    <w:p>
      <w:pPr>
        <w:pStyle w:val="2"/>
        <w:spacing w:beforeLines="0" w:line="600" w:lineRule="exact"/>
        <w:ind w:firstLine="640" w:firstLineChars="200"/>
        <w:rPr>
          <w:rFonts w:hint="eastAsia" w:ascii="仿宋" w:hAnsi="仿宋" w:eastAsia="仿宋"/>
          <w:kern w:val="2"/>
          <w:sz w:val="32"/>
          <w:szCs w:val="32"/>
          <w:lang w:eastAsia="zh-CN"/>
        </w:rPr>
      </w:pPr>
      <w:r>
        <w:rPr>
          <w:rFonts w:ascii="仿宋" w:hAnsi="仿宋" w:eastAsia="仿宋"/>
          <w:kern w:val="2"/>
          <w:sz w:val="32"/>
          <w:szCs w:val="32"/>
        </w:rPr>
        <w:t>7</w:t>
      </w:r>
      <w:r>
        <w:rPr>
          <w:rFonts w:hint="eastAsia" w:ascii="仿宋" w:hAnsi="仿宋" w:eastAsia="仿宋"/>
          <w:kern w:val="2"/>
          <w:sz w:val="32"/>
          <w:szCs w:val="32"/>
        </w:rPr>
        <w:t>、</w:t>
      </w:r>
      <w:r>
        <w:rPr>
          <w:rFonts w:ascii="仿宋" w:hAnsi="仿宋" w:eastAsia="仿宋"/>
          <w:kern w:val="2"/>
          <w:sz w:val="32"/>
          <w:szCs w:val="32"/>
        </w:rPr>
        <w:t>开展精神病、老年病、传染病等疾病的临床医疗技术应用研究</w:t>
      </w:r>
      <w:r>
        <w:rPr>
          <w:rFonts w:hint="eastAsia" w:ascii="仿宋" w:hAnsi="仿宋" w:eastAsia="仿宋"/>
          <w:kern w:val="2"/>
          <w:sz w:val="32"/>
          <w:szCs w:val="32"/>
        </w:rPr>
        <w:t>，</w:t>
      </w:r>
      <w:r>
        <w:rPr>
          <w:rFonts w:ascii="仿宋" w:hAnsi="仿宋" w:eastAsia="仿宋"/>
          <w:kern w:val="2"/>
          <w:sz w:val="32"/>
          <w:szCs w:val="32"/>
        </w:rPr>
        <w:t>负责医学司法鉴定、医养结合服务、科研项目争取及</w:t>
      </w:r>
      <w:r>
        <w:rPr>
          <w:rFonts w:hint="eastAsia" w:ascii="仿宋" w:hAnsi="仿宋" w:eastAsia="仿宋"/>
          <w:kern w:val="2"/>
          <w:sz w:val="32"/>
          <w:szCs w:val="32"/>
        </w:rPr>
        <w:t>学术</w:t>
      </w:r>
      <w:r>
        <w:rPr>
          <w:rFonts w:ascii="仿宋" w:hAnsi="仿宋" w:eastAsia="仿宋"/>
          <w:kern w:val="2"/>
          <w:sz w:val="32"/>
          <w:szCs w:val="32"/>
        </w:rPr>
        <w:t>交流合作与推广等工作。</w:t>
      </w:r>
    </w:p>
    <w:p>
      <w:pPr>
        <w:pStyle w:val="5"/>
        <w:numPr>
          <w:ilvl w:val="0"/>
          <w:numId w:val="0"/>
        </w:numPr>
        <w:rPr>
          <w:rFonts w:hint="eastAsia" w:ascii="黑体" w:hAnsi="黑体" w:eastAsia="黑体"/>
          <w:b w:val="0"/>
          <w:color w:val="auto"/>
          <w:highlight w:val="none"/>
          <w:lang w:val="en-US" w:eastAsia="zh-CN"/>
        </w:rPr>
      </w:pPr>
      <w:r>
        <w:rPr>
          <w:rFonts w:hint="eastAsia" w:ascii="黑体" w:hAnsi="黑体" w:eastAsia="黑体"/>
          <w:b w:val="0"/>
          <w:color w:val="auto"/>
          <w:highlight w:val="none"/>
          <w:lang w:val="en-US" w:eastAsia="zh-CN"/>
        </w:rPr>
        <w:t>二、机构设置</w:t>
      </w:r>
    </w:p>
    <w:p>
      <w:pPr>
        <w:pStyle w:val="2"/>
        <w:adjustRightInd w:val="0"/>
        <w:snapToGrid w:val="0"/>
        <w:spacing w:beforeLines="0" w:line="600" w:lineRule="exact"/>
        <w:ind w:firstLine="672" w:firstLineChars="210"/>
        <w:rPr>
          <w:rFonts w:hint="default" w:eastAsia="仿宋_GB2312" w:cs="仿宋_GB2312"/>
          <w:color w:val="000000"/>
          <w:sz w:val="32"/>
          <w:szCs w:val="32"/>
          <w:lang w:val="en-US" w:eastAsia="zh-CN"/>
        </w:rPr>
      </w:pPr>
      <w:r>
        <w:rPr>
          <w:rFonts w:hint="eastAsia" w:cs="仿宋_GB2312"/>
          <w:color w:val="000000"/>
          <w:sz w:val="32"/>
          <w:szCs w:val="32"/>
          <w:shd w:val="clear" w:color="auto" w:fill="FFFFFF"/>
        </w:rPr>
        <w:t>广元市</w:t>
      </w:r>
      <w:r>
        <w:rPr>
          <w:rFonts w:hint="eastAsia" w:cs="仿宋_GB2312"/>
          <w:color w:val="000000"/>
          <w:sz w:val="32"/>
          <w:szCs w:val="32"/>
        </w:rPr>
        <w:t>精神卫生</w:t>
      </w:r>
      <w:r>
        <w:rPr>
          <w:rFonts w:cs="仿宋_GB2312"/>
          <w:color w:val="000000"/>
          <w:sz w:val="32"/>
          <w:szCs w:val="32"/>
        </w:rPr>
        <w:t>中心</w:t>
      </w:r>
      <w:r>
        <w:rPr>
          <w:rFonts w:hint="eastAsia" w:cs="仿宋_GB2312"/>
          <w:color w:val="000000"/>
          <w:sz w:val="32"/>
          <w:szCs w:val="32"/>
          <w:shd w:val="clear" w:color="auto" w:fill="FFFFFF"/>
          <w:lang w:eastAsia="zh-CN"/>
        </w:rPr>
        <w:t>属于广元市卫生健康委员会下属的二级预算单位，</w:t>
      </w:r>
      <w:r>
        <w:rPr>
          <w:rFonts w:hint="eastAsia" w:cs="仿宋_GB2312"/>
          <w:color w:val="000000"/>
          <w:sz w:val="32"/>
          <w:szCs w:val="32"/>
          <w:lang w:eastAsia="zh-CN"/>
        </w:rPr>
        <w:t>下设独立编制机构</w:t>
      </w:r>
      <w:r>
        <w:rPr>
          <w:rFonts w:hint="eastAsia" w:cs="仿宋_GB2312"/>
          <w:color w:val="000000"/>
          <w:sz w:val="32"/>
          <w:szCs w:val="32"/>
          <w:lang w:val="en-US" w:eastAsia="zh-CN"/>
        </w:rPr>
        <w:t>1个，集中行政机构0个，参照公务员管理的事业机构0个，其他事业机构1个</w:t>
      </w:r>
      <w:r>
        <w:rPr>
          <w:rFonts w:hint="eastAsia" w:cs="仿宋_GB2312"/>
          <w:color w:val="000000"/>
          <w:sz w:val="32"/>
          <w:szCs w:val="32"/>
        </w:rPr>
        <w:t>。</w:t>
      </w:r>
    </w:p>
    <w:p>
      <w:pPr>
        <w:widowControl/>
        <w:ind w:firstLine="640" w:firstLineChars="200"/>
        <w:jc w:val="lef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纳入</w:t>
      </w:r>
      <w:r>
        <w:rPr>
          <w:rFonts w:hint="eastAsia" w:ascii="仿宋" w:hAnsi="仿宋" w:eastAsia="仿宋"/>
          <w:color w:val="auto"/>
          <w:sz w:val="32"/>
          <w:szCs w:val="32"/>
          <w:highlight w:val="none"/>
          <w:lang w:val="en-US" w:eastAsia="zh-CN"/>
        </w:rPr>
        <w:t>2022年度单位决算编制范围的独立编制机构包括：</w:t>
      </w:r>
    </w:p>
    <w:p>
      <w:pPr>
        <w:ind w:firstLine="640" w:firstLineChars="200"/>
        <w:rPr>
          <w:rFonts w:hint="eastAsia"/>
          <w:lang w:eastAsia="zh-CN"/>
        </w:rPr>
        <w:sectPr>
          <w:footerReference r:id="rId9" w:type="first"/>
          <w:footerReference r:id="rId8" w:type="default"/>
          <w:pgSz w:w="11906" w:h="16838"/>
          <w:pgMar w:top="1440" w:right="1800" w:bottom="1440" w:left="1800" w:header="851" w:footer="992" w:gutter="0"/>
          <w:pgNumType w:fmt="decimal" w:start="1"/>
          <w:cols w:space="425" w:num="1"/>
          <w:titlePg/>
          <w:docGrid w:type="lines" w:linePitch="312" w:charSpace="0"/>
        </w:sectPr>
      </w:pPr>
      <w:r>
        <w:rPr>
          <w:rFonts w:hint="eastAsia" w:ascii="仿宋" w:hAnsi="仿宋" w:eastAsia="仿宋"/>
          <w:color w:val="auto"/>
          <w:sz w:val="32"/>
          <w:szCs w:val="32"/>
          <w:highlight w:val="none"/>
          <w:lang w:val="en-US" w:eastAsia="zh-CN"/>
        </w:rPr>
        <w:t>1、广元市精神卫生中心</w:t>
      </w:r>
    </w:p>
    <w:bookmarkEnd w:id="15"/>
    <w:bookmarkEnd w:id="16"/>
    <w:p>
      <w:pPr>
        <w:widowControl/>
        <w:jc w:val="left"/>
        <w:rPr>
          <w:rFonts w:ascii="仿宋" w:hAnsi="仿宋" w:eastAsia="仿宋"/>
          <w:color w:val="auto"/>
          <w:kern w:val="0"/>
          <w:sz w:val="32"/>
          <w:szCs w:val="32"/>
          <w:highlight w:val="none"/>
        </w:rPr>
      </w:pPr>
    </w:p>
    <w:p>
      <w:pPr>
        <w:pStyle w:val="4"/>
        <w:ind w:right="440"/>
        <w:jc w:val="center"/>
        <w:rPr>
          <w:rStyle w:val="29"/>
          <w:rFonts w:ascii="黑体" w:hAnsi="黑体" w:eastAsia="黑体"/>
          <w:b w:val="0"/>
          <w:bCs/>
          <w:color w:val="auto"/>
          <w:highlight w:val="none"/>
        </w:rPr>
      </w:pPr>
      <w:bookmarkStart w:id="17" w:name="_Toc15396602"/>
      <w:bookmarkStart w:id="18" w:name="_Toc15377204"/>
      <w:bookmarkStart w:id="19" w:name="_Toc2459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9"/>
          <w:rFonts w:hint="eastAsia" w:ascii="黑体" w:hAnsi="黑体" w:eastAsia="黑体"/>
          <w:b w:val="0"/>
          <w:bCs/>
          <w:color w:val="auto"/>
          <w:highlight w:val="none"/>
          <w:lang w:eastAsia="zh-CN"/>
        </w:rPr>
        <w:t>单位</w:t>
      </w:r>
      <w:r>
        <w:rPr>
          <w:rStyle w:val="29"/>
          <w:rFonts w:hint="eastAsia" w:ascii="黑体" w:hAnsi="黑体" w:eastAsia="黑体"/>
          <w:b w:val="0"/>
          <w:bCs/>
          <w:color w:val="auto"/>
          <w:highlight w:val="none"/>
        </w:rPr>
        <w:t>决算情况说明</w:t>
      </w:r>
      <w:bookmarkEnd w:id="17"/>
      <w:bookmarkEnd w:id="18"/>
      <w:bookmarkEnd w:id="19"/>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96603"/>
      <w:bookmarkStart w:id="21" w:name="_Toc15377205"/>
      <w:bookmarkStart w:id="22" w:name="_Toc29079"/>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20"/>
      <w:bookmarkEnd w:id="21"/>
      <w:bookmarkEnd w:id="22"/>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0288" behindDoc="0" locked="0" layoutInCell="1" allowOverlap="1">
            <wp:simplePos x="0" y="0"/>
            <wp:positionH relativeFrom="column">
              <wp:posOffset>271145</wp:posOffset>
            </wp:positionH>
            <wp:positionV relativeFrom="paragraph">
              <wp:posOffset>1356995</wp:posOffset>
            </wp:positionV>
            <wp:extent cx="4784725" cy="3047365"/>
            <wp:effectExtent l="4445" t="5080" r="11430" b="14605"/>
            <wp:wrapTopAndBottom/>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78532.76</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12400.09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18.75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2022年疫情相关项目资金增加</w:t>
      </w:r>
      <w:r>
        <w:rPr>
          <w:rFonts w:hint="eastAsia" w:ascii="仿宋" w:hAnsi="仿宋" w:eastAsia="仿宋"/>
          <w:color w:val="auto"/>
          <w:sz w:val="32"/>
          <w:szCs w:val="32"/>
          <w:highlight w:val="none"/>
          <w:lang w:eastAsia="zh-CN"/>
        </w:rPr>
        <w:t>。</w:t>
      </w:r>
    </w:p>
    <w:p>
      <w:pPr>
        <w:spacing w:line="600" w:lineRule="exact"/>
        <w:ind w:firstLine="640" w:firstLineChars="200"/>
        <w:jc w:val="center"/>
        <w:rPr>
          <w:rFonts w:hint="eastAsia" w:ascii="仿宋_GB2312" w:eastAsia="仿宋"/>
          <w:color w:val="auto"/>
          <w:sz w:val="32"/>
          <w:szCs w:val="32"/>
          <w:highlight w:val="none"/>
          <w:lang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r>
        <w:rPr>
          <w:rFonts w:hint="eastAsia" w:ascii="仿宋" w:hAnsi="仿宋" w:eastAsia="仿宋"/>
          <w:color w:val="auto"/>
          <w:sz w:val="32"/>
          <w:szCs w:val="32"/>
          <w:highlight w:val="none"/>
          <w:lang w:eastAsia="zh-CN"/>
        </w:rPr>
        <w:t>（万元）</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3" w:name="_Toc15377206"/>
      <w:bookmarkStart w:id="24" w:name="_Toc31460"/>
      <w:bookmarkStart w:id="25" w:name="_Toc15396604"/>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3"/>
      <w:bookmarkEnd w:id="24"/>
      <w:bookmarkEnd w:id="25"/>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76180.27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6275.72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8.24</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43806.14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57.50</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26098.41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34.26</w:t>
      </w:r>
      <w:r>
        <w:rPr>
          <w:rFonts w:hint="eastAsia" w:ascii="仿宋" w:hAnsi="仿宋" w:eastAsia="仿宋"/>
          <w:color w:val="auto"/>
          <w:sz w:val="32"/>
          <w:szCs w:val="32"/>
          <w:highlight w:val="none"/>
        </w:rPr>
        <w:t>%。</w:t>
      </w:r>
    </w:p>
    <w:p>
      <w:pPr>
        <w:spacing w:line="600" w:lineRule="exact"/>
        <w:ind w:firstLine="640" w:firstLineChars="20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drawing>
          <wp:anchor distT="0" distB="0" distL="114935" distR="114935" simplePos="0" relativeHeight="251659264" behindDoc="0" locked="0" layoutInCell="1" allowOverlap="1">
            <wp:simplePos x="0" y="0"/>
            <wp:positionH relativeFrom="column">
              <wp:posOffset>328295</wp:posOffset>
            </wp:positionH>
            <wp:positionV relativeFrom="paragraph">
              <wp:posOffset>112395</wp:posOffset>
            </wp:positionV>
            <wp:extent cx="4572000" cy="2794000"/>
            <wp:effectExtent l="4445" t="4445" r="14605" b="20955"/>
            <wp:wrapTopAndBottom/>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 w:hAnsi="仿宋" w:eastAsia="仿宋"/>
          <w:color w:val="auto"/>
          <w:sz w:val="32"/>
          <w:szCs w:val="32"/>
          <w:highlight w:val="none"/>
        </w:rPr>
        <w:t>图2：收入决算结构图</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6" w:name="_Toc14279"/>
      <w:bookmarkStart w:id="27" w:name="_Toc15396605"/>
      <w:bookmarkStart w:id="28" w:name="_Toc15377207"/>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6"/>
      <w:bookmarkEnd w:id="27"/>
      <w:bookmarkEnd w:id="28"/>
    </w:p>
    <w:p>
      <w:pPr>
        <w:bidi w:val="0"/>
        <w:ind w:firstLine="640" w:firstLineChars="200"/>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77933.80</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66125.75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84.85</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11808.05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15.15</w:t>
      </w:r>
      <w:r>
        <w:rPr>
          <w:rFonts w:hint="eastAsia" w:ascii="仿宋" w:hAnsi="仿宋" w:eastAsia="仿宋"/>
          <w:color w:val="auto"/>
          <w:sz w:val="32"/>
          <w:szCs w:val="32"/>
          <w:highlight w:val="none"/>
        </w:rPr>
        <w:t>%。</w:t>
      </w:r>
    </w:p>
    <w:p>
      <w:pPr>
        <w:spacing w:line="600" w:lineRule="exact"/>
        <w:jc w:val="center"/>
        <w:rPr>
          <w:rFonts w:ascii="仿宋_GB2312" w:eastAsia="仿宋_GB2312"/>
          <w:color w:val="auto"/>
          <w:sz w:val="32"/>
          <w:szCs w:val="32"/>
          <w:highlight w:val="none"/>
        </w:rPr>
      </w:pPr>
      <w:r>
        <w:drawing>
          <wp:anchor distT="0" distB="0" distL="114300" distR="114300" simplePos="0" relativeHeight="251661312" behindDoc="0" locked="0" layoutInCell="1" allowOverlap="1">
            <wp:simplePos x="0" y="0"/>
            <wp:positionH relativeFrom="column">
              <wp:posOffset>401320</wp:posOffset>
            </wp:positionH>
            <wp:positionV relativeFrom="paragraph">
              <wp:posOffset>23495</wp:posOffset>
            </wp:positionV>
            <wp:extent cx="4575175" cy="2819400"/>
            <wp:effectExtent l="4445" t="4445" r="11430" b="14605"/>
            <wp:wrapTopAndBottom/>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30"/>
          <w:rFonts w:ascii="黑体" w:hAnsi="黑体" w:eastAsia="黑体"/>
          <w:b w:val="0"/>
          <w:color w:val="auto"/>
          <w:highlight w:val="none"/>
        </w:rPr>
      </w:pPr>
      <w:bookmarkStart w:id="29" w:name="_Toc32621"/>
      <w:bookmarkStart w:id="30" w:name="_Toc15377208"/>
      <w:bookmarkStart w:id="31" w:name="_Toc15396606"/>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9"/>
      <w:bookmarkEnd w:id="30"/>
      <w:bookmarkEnd w:id="31"/>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6359.61</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1707.64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36.71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疫情相关财政拨款增加。</w:t>
      </w:r>
    </w:p>
    <w:p>
      <w:pPr>
        <w:spacing w:line="600" w:lineRule="exact"/>
        <w:rPr>
          <w:rFonts w:hint="eastAsia" w:ascii="仿宋" w:hAnsi="仿宋" w:eastAsia="仿宋"/>
          <w:color w:val="auto"/>
          <w:sz w:val="32"/>
          <w:szCs w:val="32"/>
          <w:highlight w:val="none"/>
        </w:rPr>
      </w:pPr>
      <w:r>
        <w:drawing>
          <wp:anchor distT="0" distB="0" distL="114300" distR="114300" simplePos="0" relativeHeight="251662336" behindDoc="0" locked="0" layoutInCell="1" allowOverlap="1">
            <wp:simplePos x="0" y="0"/>
            <wp:positionH relativeFrom="column">
              <wp:posOffset>381635</wp:posOffset>
            </wp:positionH>
            <wp:positionV relativeFrom="paragraph">
              <wp:posOffset>474980</wp:posOffset>
            </wp:positionV>
            <wp:extent cx="4572000" cy="2819400"/>
            <wp:effectExtent l="4445" t="4445" r="14605" b="1460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spacing w:line="600" w:lineRule="exact"/>
        <w:ind w:firstLine="640" w:firstLineChars="200"/>
        <w:jc w:val="both"/>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r>
        <w:rPr>
          <w:rFonts w:hint="eastAsia" w:ascii="仿宋" w:hAnsi="仿宋" w:eastAsia="仿宋"/>
          <w:color w:val="auto"/>
          <w:sz w:val="32"/>
          <w:szCs w:val="32"/>
          <w:highlight w:val="none"/>
          <w:lang w:eastAsia="zh-CN"/>
        </w:rPr>
        <w:t>（万元）</w:t>
      </w:r>
    </w:p>
    <w:p>
      <w:pPr>
        <w:spacing w:line="600" w:lineRule="exact"/>
        <w:ind w:firstLine="640" w:firstLineChars="200"/>
        <w:outlineLvl w:val="1"/>
        <w:rPr>
          <w:rStyle w:val="30"/>
          <w:rFonts w:ascii="黑体" w:hAnsi="黑体" w:eastAsia="黑体"/>
          <w:b w:val="0"/>
          <w:color w:val="auto"/>
          <w:highlight w:val="none"/>
        </w:rPr>
      </w:pPr>
      <w:bookmarkStart w:id="32" w:name="_Toc15396607"/>
      <w:bookmarkStart w:id="33" w:name="_Toc15377209"/>
      <w:bookmarkStart w:id="34" w:name="_Toc21368"/>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32"/>
      <w:bookmarkEnd w:id="33"/>
      <w:bookmarkEnd w:id="34"/>
    </w:p>
    <w:p>
      <w:pPr>
        <w:spacing w:line="600" w:lineRule="exact"/>
        <w:ind w:firstLine="643" w:firstLineChars="200"/>
        <w:outlineLvl w:val="2"/>
        <w:rPr>
          <w:rFonts w:ascii="仿宋" w:hAnsi="仿宋" w:eastAsia="仿宋"/>
          <w:b/>
          <w:color w:val="auto"/>
          <w:sz w:val="32"/>
          <w:szCs w:val="32"/>
          <w:highlight w:val="none"/>
        </w:rPr>
      </w:pPr>
      <w:bookmarkStart w:id="35" w:name="_Toc15377210"/>
      <w:r>
        <w:rPr>
          <w:rFonts w:hint="eastAsia" w:ascii="仿宋" w:hAnsi="仿宋" w:eastAsia="仿宋"/>
          <w:b/>
          <w:color w:val="auto"/>
          <w:sz w:val="32"/>
          <w:szCs w:val="32"/>
          <w:highlight w:val="none"/>
        </w:rPr>
        <w:t>（一）一般公共预算财政拨款支出决算总体情况</w:t>
      </w:r>
      <w:bookmarkEnd w:id="35"/>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5875.86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7.54</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2004.14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51.76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疫情相关财政拨款增加。</w:t>
      </w:r>
    </w:p>
    <w:p>
      <w:pPr>
        <w:spacing w:line="600" w:lineRule="exact"/>
        <w:ind w:firstLine="420" w:firstLineChars="200"/>
        <w:jc w:val="center"/>
        <w:rPr>
          <w:rFonts w:ascii="仿宋" w:hAnsi="仿宋" w:eastAsia="仿宋"/>
          <w:color w:val="auto"/>
          <w:sz w:val="32"/>
          <w:szCs w:val="32"/>
          <w:highlight w:val="none"/>
        </w:rPr>
      </w:pPr>
      <w:r>
        <w:drawing>
          <wp:anchor distT="0" distB="0" distL="114300" distR="114300" simplePos="0" relativeHeight="251663360" behindDoc="0" locked="0" layoutInCell="1" allowOverlap="1">
            <wp:simplePos x="0" y="0"/>
            <wp:positionH relativeFrom="column">
              <wp:posOffset>414020</wp:posOffset>
            </wp:positionH>
            <wp:positionV relativeFrom="paragraph">
              <wp:posOffset>85090</wp:posOffset>
            </wp:positionV>
            <wp:extent cx="4572000" cy="2814320"/>
            <wp:effectExtent l="4445" t="4445" r="14605" b="19685"/>
            <wp:wrapTopAndBottom/>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rFonts w:hint="eastAsia" w:ascii="仿宋" w:hAnsi="仿宋" w:eastAsia="仿宋"/>
          <w:color w:val="auto"/>
          <w:sz w:val="32"/>
          <w:szCs w:val="32"/>
          <w:highlight w:val="none"/>
        </w:rPr>
        <w:t>图5：一般公共预算财政拨款支出决算变动情况</w:t>
      </w:r>
      <w:r>
        <w:rPr>
          <w:rFonts w:hint="eastAsia" w:ascii="仿宋" w:hAnsi="仿宋" w:eastAsia="仿宋"/>
          <w:color w:val="auto"/>
          <w:sz w:val="32"/>
          <w:szCs w:val="32"/>
          <w:highlight w:val="none"/>
          <w:lang w:eastAsia="zh-CN"/>
        </w:rPr>
        <w:t>（万元）</w:t>
      </w:r>
    </w:p>
    <w:p>
      <w:pPr>
        <w:spacing w:line="600" w:lineRule="exact"/>
        <w:ind w:firstLine="643" w:firstLineChars="200"/>
        <w:outlineLvl w:val="2"/>
        <w:rPr>
          <w:rFonts w:ascii="仿宋" w:hAnsi="仿宋" w:eastAsia="仿宋"/>
          <w:b/>
          <w:color w:val="auto"/>
          <w:sz w:val="32"/>
          <w:szCs w:val="32"/>
          <w:highlight w:val="none"/>
        </w:rPr>
      </w:pPr>
      <w:bookmarkStart w:id="36" w:name="_Toc15377211"/>
      <w:r>
        <w:rPr>
          <w:rFonts w:hint="eastAsia" w:ascii="仿宋" w:hAnsi="仿宋" w:eastAsia="仿宋"/>
          <w:b/>
          <w:color w:val="auto"/>
          <w:sz w:val="32"/>
          <w:szCs w:val="32"/>
          <w:highlight w:val="none"/>
        </w:rPr>
        <w:t>（二）一般公共预算财政拨款支出决算结构情况</w:t>
      </w:r>
      <w:bookmarkEnd w:id="36"/>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5875.86</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201.63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3.43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5485.96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93.36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188.27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3.21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jc w:val="center"/>
        <w:rPr>
          <w:rFonts w:ascii="仿宋" w:hAnsi="仿宋" w:eastAsia="仿宋"/>
          <w:color w:val="auto"/>
          <w:sz w:val="32"/>
          <w:szCs w:val="32"/>
          <w:highlight w:val="none"/>
        </w:rPr>
      </w:pPr>
      <w:r>
        <w:drawing>
          <wp:anchor distT="0" distB="0" distL="114300" distR="114300" simplePos="0" relativeHeight="251664384" behindDoc="0" locked="0" layoutInCell="1" allowOverlap="1">
            <wp:simplePos x="0" y="0"/>
            <wp:positionH relativeFrom="column">
              <wp:posOffset>410845</wp:posOffset>
            </wp:positionH>
            <wp:positionV relativeFrom="paragraph">
              <wp:posOffset>71120</wp:posOffset>
            </wp:positionV>
            <wp:extent cx="4572000" cy="2819400"/>
            <wp:effectExtent l="4445" t="4445" r="14605" b="14605"/>
            <wp:wrapTopAndBottom/>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rFonts w:hint="eastAsia" w:ascii="仿宋" w:hAnsi="仿宋" w:eastAsia="仿宋"/>
          <w:color w:val="auto"/>
          <w:sz w:val="32"/>
          <w:szCs w:val="32"/>
          <w:highlight w:val="none"/>
        </w:rPr>
        <w:t>图6：一般公共预算财政拨款支出决算结构</w:t>
      </w:r>
    </w:p>
    <w:p>
      <w:pPr>
        <w:spacing w:line="600" w:lineRule="exact"/>
        <w:ind w:firstLine="643" w:firstLineChars="200"/>
        <w:outlineLvl w:val="2"/>
        <w:rPr>
          <w:rFonts w:ascii="仿宋" w:hAnsi="仿宋" w:eastAsia="仿宋"/>
          <w:b/>
          <w:color w:val="auto"/>
          <w:sz w:val="32"/>
          <w:szCs w:val="32"/>
          <w:highlight w:val="none"/>
        </w:rPr>
      </w:pPr>
      <w:bookmarkStart w:id="37" w:name="_Toc15377212"/>
      <w:r>
        <w:rPr>
          <w:rFonts w:hint="eastAsia" w:ascii="仿宋" w:hAnsi="仿宋" w:eastAsia="仿宋"/>
          <w:b/>
          <w:color w:val="auto"/>
          <w:sz w:val="32"/>
          <w:szCs w:val="32"/>
          <w:highlight w:val="none"/>
        </w:rPr>
        <w:t>（三）一般公共预算财政拨款支出决算具体情况</w:t>
      </w:r>
      <w:bookmarkEnd w:id="37"/>
    </w:p>
    <w:p>
      <w:pPr>
        <w:spacing w:line="600" w:lineRule="exact"/>
        <w:ind w:firstLine="640" w:firstLineChars="200"/>
        <w:rPr>
          <w:rFonts w:ascii="仿宋" w:hAnsi="仿宋" w:eastAsia="仿宋"/>
          <w:b/>
          <w:color w:val="auto"/>
          <w:sz w:val="32"/>
          <w:szCs w:val="32"/>
          <w:highlight w:val="none"/>
        </w:rPr>
      </w:pPr>
      <w:bookmarkStart w:id="38" w:name="_Toc15378460"/>
      <w:bookmarkStart w:id="39" w:name="_Toc15377444"/>
      <w:bookmarkStart w:id="40" w:name="_Toc15377213"/>
      <w:r>
        <w:rPr>
          <w:rStyle w:val="18"/>
          <w:rFonts w:hint="eastAsia" w:ascii="仿宋" w:hAnsi="仿宋" w:eastAsia="仿宋" w:cstheme="minorBidi"/>
          <w:b w:val="0"/>
          <w:bCs/>
          <w:color w:val="auto"/>
          <w:sz w:val="32"/>
          <w:szCs w:val="32"/>
          <w:highlight w:val="none"/>
        </w:rPr>
        <w:t>20</w:t>
      </w:r>
      <w:r>
        <w:rPr>
          <w:rStyle w:val="18"/>
          <w:rFonts w:hint="eastAsia" w:ascii="仿宋" w:hAnsi="仿宋" w:eastAsia="仿宋" w:cstheme="minorBidi"/>
          <w:b w:val="0"/>
          <w:bCs/>
          <w:color w:val="auto"/>
          <w:sz w:val="32"/>
          <w:szCs w:val="32"/>
          <w:highlight w:val="none"/>
          <w:lang w:val="en-US" w:eastAsia="zh-CN"/>
        </w:rPr>
        <w:t>22</w:t>
      </w:r>
      <w:r>
        <w:rPr>
          <w:rStyle w:val="18"/>
          <w:rFonts w:hint="eastAsia" w:ascii="仿宋" w:hAnsi="仿宋" w:eastAsia="仿宋" w:cstheme="minorBidi"/>
          <w:b w:val="0"/>
          <w:bCs/>
          <w:color w:val="auto"/>
          <w:sz w:val="32"/>
          <w:szCs w:val="32"/>
          <w:highlight w:val="none"/>
        </w:rPr>
        <w:t>年</w:t>
      </w:r>
      <w:r>
        <w:rPr>
          <w:rStyle w:val="18"/>
          <w:rFonts w:hint="eastAsia" w:ascii="仿宋" w:hAnsi="仿宋" w:eastAsia="仿宋" w:cstheme="minorBidi"/>
          <w:b w:val="0"/>
          <w:bCs/>
          <w:color w:val="auto"/>
          <w:sz w:val="32"/>
          <w:szCs w:val="32"/>
          <w:highlight w:val="none"/>
          <w:lang w:eastAsia="zh-CN"/>
        </w:rPr>
        <w:t>一</w:t>
      </w:r>
      <w:r>
        <w:rPr>
          <w:rStyle w:val="18"/>
          <w:rFonts w:hint="eastAsia" w:ascii="仿宋" w:hAnsi="仿宋" w:eastAsia="仿宋" w:cstheme="minorBidi"/>
          <w:b w:val="0"/>
          <w:bCs/>
          <w:color w:val="auto"/>
          <w:sz w:val="32"/>
          <w:szCs w:val="32"/>
          <w:highlight w:val="none"/>
        </w:rPr>
        <w:t>般公共预算支出决算数为</w:t>
      </w:r>
      <w:r>
        <w:rPr>
          <w:rFonts w:hint="eastAsia" w:ascii="仿宋" w:hAnsi="仿宋" w:eastAsia="仿宋"/>
          <w:color w:val="auto"/>
          <w:sz w:val="32"/>
          <w:szCs w:val="32"/>
          <w:highlight w:val="none"/>
          <w:lang w:val="en-US" w:eastAsia="zh-CN"/>
        </w:rPr>
        <w:t>5875.86</w:t>
      </w:r>
      <w:r>
        <w:rPr>
          <w:rStyle w:val="18"/>
          <w:rFonts w:hint="eastAsia" w:ascii="仿宋" w:hAnsi="仿宋" w:eastAsia="仿宋" w:cstheme="minorBidi"/>
          <w:b w:val="0"/>
          <w:bCs/>
          <w:color w:val="auto"/>
          <w:sz w:val="32"/>
          <w:szCs w:val="32"/>
          <w:highlight w:val="none"/>
        </w:rPr>
        <w:t>，完成预算</w:t>
      </w:r>
      <w:r>
        <w:rPr>
          <w:rStyle w:val="18"/>
          <w:rFonts w:hint="eastAsia" w:ascii="仿宋" w:hAnsi="仿宋" w:eastAsia="仿宋" w:cstheme="minorBidi"/>
          <w:b w:val="0"/>
          <w:bCs/>
          <w:color w:val="auto"/>
          <w:sz w:val="32"/>
          <w:szCs w:val="32"/>
          <w:highlight w:val="none"/>
          <w:lang w:val="en-US" w:eastAsia="zh-CN"/>
        </w:rPr>
        <w:t>92.39</w:t>
      </w:r>
      <w:r>
        <w:rPr>
          <w:rStyle w:val="18"/>
          <w:rFonts w:hint="eastAsia" w:ascii="仿宋" w:hAnsi="仿宋" w:eastAsia="仿宋" w:cstheme="minorBidi"/>
          <w:b w:val="0"/>
          <w:bCs/>
          <w:color w:val="auto"/>
          <w:sz w:val="32"/>
          <w:szCs w:val="32"/>
          <w:highlight w:val="none"/>
        </w:rPr>
        <w:t>%。其中：</w:t>
      </w:r>
      <w:bookmarkEnd w:id="38"/>
      <w:bookmarkEnd w:id="39"/>
      <w:bookmarkEnd w:id="40"/>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1</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科学技术（类）</w:t>
      </w:r>
      <w:r>
        <w:rPr>
          <w:rStyle w:val="18"/>
          <w:rFonts w:hint="eastAsia" w:ascii="仿宋" w:hAnsi="仿宋" w:eastAsia="仿宋"/>
          <w:bCs/>
          <w:color w:val="auto"/>
          <w:sz w:val="32"/>
          <w:szCs w:val="32"/>
          <w:highlight w:val="none"/>
          <w:lang w:eastAsia="zh-CN"/>
        </w:rPr>
        <w:t>科技重大项目</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重点研发计划</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0</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，决算数小于预算数的主要原因是</w:t>
      </w:r>
      <w:r>
        <w:rPr>
          <w:rStyle w:val="18"/>
          <w:rFonts w:hint="eastAsia" w:ascii="仿宋" w:hAnsi="仿宋" w:eastAsia="仿宋"/>
          <w:b w:val="0"/>
          <w:bCs/>
          <w:color w:val="auto"/>
          <w:sz w:val="32"/>
          <w:szCs w:val="32"/>
          <w:highlight w:val="none"/>
          <w:lang w:eastAsia="zh-CN"/>
        </w:rPr>
        <w:t>该科研项目周期为</w:t>
      </w:r>
      <w:r>
        <w:rPr>
          <w:rStyle w:val="18"/>
          <w:rFonts w:hint="eastAsia" w:ascii="仿宋" w:hAnsi="仿宋" w:eastAsia="仿宋"/>
          <w:b w:val="0"/>
          <w:bCs/>
          <w:color w:val="auto"/>
          <w:sz w:val="32"/>
          <w:szCs w:val="32"/>
          <w:highlight w:val="none"/>
          <w:lang w:val="en-US" w:eastAsia="zh-CN"/>
        </w:rPr>
        <w:t>2年，目前研究进行中，论文、APP、软件著作等研究成果尚未发表，2022年未产生费用</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red"/>
        </w:rPr>
      </w:pPr>
      <w:r>
        <w:rPr>
          <w:rStyle w:val="18"/>
          <w:rFonts w:hint="eastAsia" w:ascii="仿宋" w:hAnsi="仿宋" w:eastAsia="仿宋"/>
          <w:bCs/>
          <w:color w:val="auto"/>
          <w:sz w:val="32"/>
          <w:szCs w:val="32"/>
          <w:highlight w:val="none"/>
          <w:lang w:val="en-US" w:eastAsia="zh-CN"/>
        </w:rPr>
        <w:t>2</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w:t>
      </w:r>
      <w:r>
        <w:rPr>
          <w:rStyle w:val="18"/>
          <w:rFonts w:hint="eastAsia" w:ascii="仿宋" w:hAnsi="仿宋" w:eastAsia="仿宋"/>
          <w:bCs/>
          <w:color w:val="auto"/>
          <w:sz w:val="32"/>
          <w:szCs w:val="32"/>
          <w:highlight w:val="none"/>
          <w:lang w:eastAsia="zh-CN"/>
        </w:rPr>
        <w:t>人力资源和社会保障管理事务</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引进人才费用</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0</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，决算数小于预算数的主要原因是</w:t>
      </w:r>
      <w:r>
        <w:rPr>
          <w:rStyle w:val="18"/>
          <w:rFonts w:hint="eastAsia" w:ascii="仿宋" w:hAnsi="仿宋" w:eastAsia="仿宋"/>
          <w:b w:val="0"/>
          <w:bCs/>
          <w:color w:val="auto"/>
          <w:sz w:val="32"/>
          <w:szCs w:val="32"/>
          <w:highlight w:val="none"/>
          <w:lang w:eastAsia="zh-CN"/>
        </w:rPr>
        <w:t>引进人才试用期</w:t>
      </w:r>
      <w:r>
        <w:rPr>
          <w:rStyle w:val="18"/>
          <w:rFonts w:hint="eastAsia" w:ascii="仿宋" w:hAnsi="仿宋" w:eastAsia="仿宋"/>
          <w:b w:val="0"/>
          <w:bCs/>
          <w:color w:val="auto"/>
          <w:sz w:val="32"/>
          <w:szCs w:val="32"/>
          <w:highlight w:val="none"/>
          <w:lang w:val="en-US" w:eastAsia="zh-CN"/>
        </w:rPr>
        <w:t>2023年3月才满，期满考核合格后才发放</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3</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w:t>
      </w:r>
      <w:r>
        <w:rPr>
          <w:rStyle w:val="18"/>
          <w:rFonts w:hint="eastAsia" w:ascii="仿宋" w:hAnsi="仿宋" w:eastAsia="仿宋"/>
          <w:bCs/>
          <w:color w:val="auto"/>
          <w:sz w:val="32"/>
          <w:szCs w:val="32"/>
          <w:highlight w:val="none"/>
          <w:lang w:eastAsia="zh-CN"/>
        </w:rPr>
        <w:t>人力资源和社会保障管理事务</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其他人力资源和社会保障管理事务支出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7.18</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Fonts w:hint="eastAsia" w:ascii="仿宋" w:hAnsi="仿宋" w:eastAsia="仿宋"/>
          <w:color w:val="auto"/>
          <w:sz w:val="32"/>
          <w:szCs w:val="32"/>
          <w:highlight w:val="none"/>
        </w:rPr>
        <w:t>决算数与预算数持平。</w:t>
      </w:r>
    </w:p>
    <w:p>
      <w:pPr>
        <w:spacing w:line="600" w:lineRule="exact"/>
        <w:ind w:firstLine="643" w:firstLineChars="200"/>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w:t>
      </w:r>
      <w:r>
        <w:rPr>
          <w:rStyle w:val="18"/>
          <w:rFonts w:hint="eastAsia" w:ascii="仿宋" w:hAnsi="仿宋" w:eastAsia="仿宋"/>
          <w:bCs/>
          <w:color w:val="auto"/>
          <w:sz w:val="32"/>
          <w:szCs w:val="32"/>
          <w:highlight w:val="none"/>
          <w:lang w:eastAsia="zh-CN"/>
        </w:rPr>
        <w:t>行政事业单位养老支出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机关事业单位基本养老保险缴费支出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181.72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Fonts w:hint="eastAsia" w:ascii="仿宋" w:hAnsi="仿宋" w:eastAsia="仿宋"/>
          <w:color w:val="auto"/>
          <w:sz w:val="32"/>
          <w:szCs w:val="32"/>
          <w:highlight w:val="none"/>
        </w:rPr>
        <w:t>决算数与预算数持平。</w:t>
      </w:r>
    </w:p>
    <w:p>
      <w:pPr>
        <w:spacing w:line="600" w:lineRule="exact"/>
        <w:ind w:firstLine="643" w:firstLineChars="200"/>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w:t>
      </w:r>
      <w:r>
        <w:rPr>
          <w:rStyle w:val="18"/>
          <w:rFonts w:hint="eastAsia" w:ascii="仿宋" w:hAnsi="仿宋" w:eastAsia="仿宋"/>
          <w:bCs/>
          <w:color w:val="auto"/>
          <w:sz w:val="32"/>
          <w:szCs w:val="32"/>
          <w:highlight w:val="none"/>
          <w:lang w:eastAsia="zh-CN"/>
        </w:rPr>
        <w:t>行政事业单位养老支出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机关事业单位职业年金缴费支出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12.73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Fonts w:hint="eastAsia" w:ascii="仿宋" w:hAnsi="仿宋" w:eastAsia="仿宋"/>
          <w:color w:val="auto"/>
          <w:sz w:val="32"/>
          <w:szCs w:val="32"/>
          <w:highlight w:val="none"/>
        </w:rPr>
        <w:t>决算数与预算数持平。</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6</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公立医院</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综合医院</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4.92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12.25</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，决算数小于预算数的主要原因是</w:t>
      </w:r>
      <w:r>
        <w:rPr>
          <w:rStyle w:val="18"/>
          <w:rFonts w:hint="eastAsia" w:ascii="仿宋" w:hAnsi="仿宋" w:eastAsia="仿宋"/>
          <w:b w:val="0"/>
          <w:bCs/>
          <w:color w:val="auto"/>
          <w:sz w:val="32"/>
          <w:szCs w:val="32"/>
          <w:highlight w:val="none"/>
          <w:lang w:eastAsia="zh-CN"/>
        </w:rPr>
        <w:t>本院</w:t>
      </w:r>
      <w:r>
        <w:rPr>
          <w:rStyle w:val="18"/>
          <w:rFonts w:hint="eastAsia" w:ascii="仿宋" w:hAnsi="仿宋" w:eastAsia="仿宋"/>
          <w:b w:val="0"/>
          <w:bCs/>
          <w:color w:val="auto"/>
          <w:sz w:val="32"/>
          <w:szCs w:val="32"/>
          <w:highlight w:val="none"/>
          <w:lang w:val="en-US" w:eastAsia="zh-CN"/>
        </w:rPr>
        <w:t>2022年新冠疫情封控3个月，项目无法如期实施</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7</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公立医院</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传染病医院</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1430.96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Fonts w:hint="eastAsia" w:ascii="仿宋" w:hAnsi="仿宋" w:eastAsia="仿宋"/>
          <w:color w:val="auto"/>
          <w:sz w:val="32"/>
          <w:szCs w:val="32"/>
          <w:highlight w:val="none"/>
        </w:rPr>
        <w:t>决算数与预算数持平。</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8</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公立医院</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精神病医院</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3142.43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99.83</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Style w:val="18"/>
          <w:rFonts w:hint="eastAsia" w:ascii="仿宋" w:hAnsi="仿宋" w:eastAsia="仿宋"/>
          <w:b w:val="0"/>
          <w:bCs/>
          <w:color w:val="auto"/>
          <w:sz w:val="32"/>
          <w:szCs w:val="32"/>
          <w:highlight w:val="none"/>
        </w:rPr>
        <w:t>决算数小于预算数的主要原因</w:t>
      </w:r>
      <w:r>
        <w:rPr>
          <w:rStyle w:val="18"/>
          <w:rFonts w:hint="eastAsia" w:ascii="仿宋" w:hAnsi="仿宋" w:eastAsia="仿宋"/>
          <w:b w:val="0"/>
          <w:bCs/>
          <w:color w:val="auto"/>
          <w:sz w:val="32"/>
          <w:szCs w:val="32"/>
          <w:highlight w:val="none"/>
          <w:lang w:eastAsia="zh-CN"/>
        </w:rPr>
        <w:t>本院</w:t>
      </w:r>
      <w:r>
        <w:rPr>
          <w:rStyle w:val="18"/>
          <w:rFonts w:hint="eastAsia" w:ascii="仿宋" w:hAnsi="仿宋" w:eastAsia="仿宋"/>
          <w:b w:val="0"/>
          <w:bCs/>
          <w:color w:val="auto"/>
          <w:sz w:val="32"/>
          <w:szCs w:val="32"/>
          <w:highlight w:val="none"/>
          <w:lang w:val="en-US" w:eastAsia="zh-CN"/>
        </w:rPr>
        <w:t>2022年新冠疫情封控3个月，原计划的培训会无法开展</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9</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公共卫生</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重大公共卫生服务</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28</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84.85</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Style w:val="18"/>
          <w:rFonts w:hint="eastAsia" w:ascii="仿宋" w:hAnsi="仿宋" w:eastAsia="仿宋"/>
          <w:b w:val="0"/>
          <w:bCs/>
          <w:color w:val="auto"/>
          <w:sz w:val="32"/>
          <w:szCs w:val="32"/>
          <w:highlight w:val="none"/>
        </w:rPr>
        <w:t>决算数小于预算数的主要原因</w:t>
      </w:r>
      <w:r>
        <w:rPr>
          <w:rStyle w:val="18"/>
          <w:rFonts w:hint="eastAsia" w:ascii="仿宋" w:hAnsi="仿宋" w:eastAsia="仿宋"/>
          <w:b w:val="0"/>
          <w:bCs/>
          <w:color w:val="auto"/>
          <w:sz w:val="32"/>
          <w:szCs w:val="32"/>
          <w:highlight w:val="none"/>
          <w:lang w:eastAsia="zh-CN"/>
        </w:rPr>
        <w:t>本院</w:t>
      </w:r>
      <w:r>
        <w:rPr>
          <w:rStyle w:val="18"/>
          <w:rFonts w:hint="eastAsia" w:ascii="仿宋" w:hAnsi="仿宋" w:eastAsia="仿宋"/>
          <w:b w:val="0"/>
          <w:bCs/>
          <w:color w:val="auto"/>
          <w:sz w:val="32"/>
          <w:szCs w:val="32"/>
          <w:highlight w:val="none"/>
          <w:lang w:val="en-US" w:eastAsia="zh-CN"/>
        </w:rPr>
        <w:t>2022年新冠疫情封控3个月，精防项目无法开展</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red"/>
        </w:rPr>
      </w:pPr>
      <w:r>
        <w:rPr>
          <w:rStyle w:val="18"/>
          <w:rFonts w:hint="eastAsia" w:ascii="仿宋" w:hAnsi="仿宋" w:eastAsia="仿宋"/>
          <w:bCs/>
          <w:color w:val="auto"/>
          <w:sz w:val="32"/>
          <w:szCs w:val="32"/>
          <w:highlight w:val="none"/>
          <w:lang w:val="en-US" w:eastAsia="zh-CN"/>
        </w:rPr>
        <w:t>10</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公共卫生</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突发公共卫生事件应急处理</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0</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Style w:val="18"/>
          <w:rFonts w:hint="eastAsia" w:ascii="仿宋" w:hAnsi="仿宋" w:eastAsia="仿宋"/>
          <w:b w:val="0"/>
          <w:bCs/>
          <w:color w:val="auto"/>
          <w:sz w:val="32"/>
          <w:szCs w:val="32"/>
          <w:highlight w:val="none"/>
        </w:rPr>
        <w:t>决算数小于预算数的主要原因</w:t>
      </w:r>
      <w:r>
        <w:rPr>
          <w:rStyle w:val="18"/>
          <w:rFonts w:hint="eastAsia" w:ascii="仿宋" w:hAnsi="仿宋" w:eastAsia="仿宋"/>
          <w:b w:val="0"/>
          <w:bCs/>
          <w:sz w:val="32"/>
          <w:szCs w:val="32"/>
        </w:rPr>
        <w:t>下达时间较晚,待</w:t>
      </w:r>
      <w:r>
        <w:rPr>
          <w:rStyle w:val="18"/>
          <w:rFonts w:ascii="仿宋" w:hAnsi="仿宋" w:eastAsia="仿宋"/>
          <w:b w:val="0"/>
          <w:bCs/>
          <w:sz w:val="32"/>
          <w:szCs w:val="32"/>
        </w:rPr>
        <w:t>后续完成支</w:t>
      </w:r>
      <w:r>
        <w:rPr>
          <w:rStyle w:val="18"/>
          <w:rFonts w:ascii="仿宋" w:hAnsi="仿宋" w:eastAsia="仿宋"/>
          <w:b w:val="0"/>
          <w:bCs/>
          <w:sz w:val="32"/>
          <w:szCs w:val="32"/>
          <w:highlight w:val="none"/>
        </w:rPr>
        <w:t>付</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11</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行政事业单位医疗</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事业单位医疗</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90.86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Fonts w:hint="eastAsia" w:ascii="仿宋" w:hAnsi="仿宋" w:eastAsia="仿宋"/>
          <w:color w:val="auto"/>
          <w:sz w:val="32"/>
          <w:szCs w:val="32"/>
          <w:highlight w:val="none"/>
        </w:rPr>
        <w:t>决算数与预算数持平。</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12</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医疗保障管理事务</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其他医疗保障管理事务支出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54.53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54.53</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Style w:val="18"/>
          <w:rFonts w:hint="eastAsia" w:ascii="仿宋" w:hAnsi="仿宋" w:eastAsia="仿宋"/>
          <w:b w:val="0"/>
          <w:bCs/>
          <w:color w:val="auto"/>
          <w:sz w:val="32"/>
          <w:szCs w:val="32"/>
          <w:highlight w:val="none"/>
        </w:rPr>
        <w:t>决算数小于预算数的主要原因</w:t>
      </w:r>
      <w:r>
        <w:rPr>
          <w:rStyle w:val="18"/>
          <w:rFonts w:hint="eastAsia" w:ascii="仿宋" w:hAnsi="仿宋" w:eastAsia="仿宋"/>
          <w:b w:val="0"/>
          <w:bCs/>
          <w:color w:val="auto"/>
          <w:sz w:val="32"/>
          <w:szCs w:val="32"/>
          <w:highlight w:val="none"/>
          <w:lang w:eastAsia="zh-CN"/>
        </w:rPr>
        <w:t>本院</w:t>
      </w:r>
      <w:r>
        <w:rPr>
          <w:rStyle w:val="18"/>
          <w:rFonts w:hint="eastAsia" w:ascii="仿宋" w:hAnsi="仿宋" w:eastAsia="仿宋"/>
          <w:b w:val="0"/>
          <w:bCs/>
          <w:color w:val="auto"/>
          <w:sz w:val="32"/>
          <w:szCs w:val="32"/>
          <w:highlight w:val="none"/>
          <w:lang w:val="en-US" w:eastAsia="zh-CN"/>
        </w:rPr>
        <w:t>2022年新冠疫情封控3个月，社区康养项目2023年才实施</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lang w:val="en-US" w:eastAsia="zh-CN"/>
        </w:rPr>
      </w:pPr>
      <w:r>
        <w:rPr>
          <w:rStyle w:val="18"/>
          <w:rFonts w:hint="eastAsia" w:ascii="仿宋" w:hAnsi="仿宋" w:eastAsia="仿宋"/>
          <w:bCs/>
          <w:color w:val="auto"/>
          <w:sz w:val="32"/>
          <w:szCs w:val="32"/>
          <w:highlight w:val="none"/>
          <w:lang w:val="en-US" w:eastAsia="zh-CN"/>
        </w:rPr>
        <w:t>13</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其他卫生健康支出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其他卫生健康支出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734.26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67.26</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Style w:val="18"/>
          <w:rFonts w:hint="eastAsia" w:ascii="仿宋" w:hAnsi="仿宋" w:eastAsia="仿宋"/>
          <w:b w:val="0"/>
          <w:bCs/>
          <w:color w:val="auto"/>
          <w:sz w:val="32"/>
          <w:szCs w:val="32"/>
          <w:highlight w:val="none"/>
        </w:rPr>
        <w:t>决算数小于预算数的主要原因</w:t>
      </w:r>
      <w:r>
        <w:rPr>
          <w:rStyle w:val="18"/>
          <w:rFonts w:hint="eastAsia" w:ascii="仿宋" w:hAnsi="仿宋" w:eastAsia="仿宋"/>
          <w:b w:val="0"/>
          <w:bCs/>
          <w:color w:val="auto"/>
          <w:sz w:val="32"/>
          <w:szCs w:val="32"/>
          <w:highlight w:val="none"/>
          <w:lang w:eastAsia="zh-CN"/>
        </w:rPr>
        <w:t>是本院</w:t>
      </w:r>
      <w:r>
        <w:rPr>
          <w:rStyle w:val="18"/>
          <w:rFonts w:hint="eastAsia" w:ascii="仿宋" w:hAnsi="仿宋" w:eastAsia="仿宋"/>
          <w:b w:val="0"/>
          <w:bCs/>
          <w:color w:val="auto"/>
          <w:sz w:val="32"/>
          <w:szCs w:val="32"/>
          <w:highlight w:val="none"/>
          <w:lang w:val="en-US" w:eastAsia="zh-CN"/>
        </w:rPr>
        <w:t>2022年新冠疫情封控3个月，项目无法如期实施</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14</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住房改革支出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住房公积金</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188.27</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r>
        <w:rPr>
          <w:rFonts w:hint="eastAsia" w:ascii="仿宋" w:hAnsi="仿宋" w:eastAsia="仿宋"/>
          <w:color w:val="auto"/>
          <w:sz w:val="32"/>
          <w:szCs w:val="32"/>
          <w:highlight w:val="none"/>
        </w:rPr>
        <w:t>决算数与预算数持平。</w:t>
      </w:r>
    </w:p>
    <w:p>
      <w:pPr>
        <w:tabs>
          <w:tab w:val="right" w:pos="8306"/>
        </w:tabs>
        <w:spacing w:line="600" w:lineRule="exact"/>
        <w:ind w:firstLine="640"/>
        <w:outlineLvl w:val="1"/>
        <w:rPr>
          <w:rStyle w:val="30"/>
          <w:color w:val="auto"/>
          <w:highlight w:val="none"/>
        </w:rPr>
      </w:pPr>
      <w:bookmarkStart w:id="41" w:name="_Toc15396608"/>
      <w:bookmarkStart w:id="42" w:name="_Toc15377214"/>
      <w:bookmarkStart w:id="43" w:name="_Toc9357"/>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41"/>
      <w:bookmarkEnd w:id="42"/>
      <w:bookmarkEnd w:id="43"/>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3655.79</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3577.27</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78.52</w:t>
      </w:r>
      <w:r>
        <w:rPr>
          <w:rFonts w:hint="eastAsia" w:ascii="仿宋" w:hAnsi="仿宋" w:eastAsia="仿宋"/>
          <w:color w:val="auto"/>
          <w:sz w:val="32"/>
          <w:szCs w:val="32"/>
          <w:highlight w:val="none"/>
        </w:rPr>
        <w:t>万元，主要包括：办公费、印刷费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培训费、专用材料费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工会经费、福利费、其他交通费</w:t>
      </w:r>
      <w:r>
        <w:rPr>
          <w:rFonts w:hint="eastAsia" w:ascii="仿宋" w:hAnsi="仿宋" w:eastAsia="仿宋"/>
          <w:color w:val="auto"/>
          <w:sz w:val="32"/>
          <w:szCs w:val="32"/>
          <w:highlight w:val="none"/>
          <w:lang w:eastAsia="zh-CN"/>
        </w:rPr>
        <w:t>用</w:t>
      </w:r>
      <w:r>
        <w:rPr>
          <w:rFonts w:hint="eastAsia" w:ascii="仿宋" w:hAnsi="仿宋" w:eastAsia="仿宋"/>
          <w:color w:val="auto"/>
          <w:sz w:val="32"/>
          <w:szCs w:val="32"/>
          <w:highlight w:val="none"/>
        </w:rPr>
        <w:t>、其他商品和服务支出、信息网络及软件购置更新。</w:t>
      </w:r>
    </w:p>
    <w:p>
      <w:pPr>
        <w:spacing w:line="600" w:lineRule="exact"/>
        <w:ind w:firstLine="640"/>
        <w:outlineLvl w:val="1"/>
        <w:rPr>
          <w:rStyle w:val="30"/>
          <w:rFonts w:ascii="黑体" w:hAnsi="黑体" w:eastAsia="黑体"/>
          <w:b w:val="0"/>
          <w:color w:val="auto"/>
          <w:highlight w:val="none"/>
        </w:rPr>
      </w:pPr>
      <w:bookmarkStart w:id="44" w:name="_Toc15396609"/>
      <w:bookmarkStart w:id="45" w:name="_Toc15377215"/>
      <w:bookmarkStart w:id="46" w:name="_Toc7963"/>
      <w:r>
        <w:rPr>
          <w:rFonts w:hint="eastAsia" w:ascii="黑体" w:eastAsia="黑体"/>
          <w:color w:val="auto"/>
          <w:sz w:val="32"/>
          <w:szCs w:val="32"/>
          <w:highlight w:val="none"/>
        </w:rPr>
        <w:t>七、</w:t>
      </w:r>
      <w:r>
        <w:rPr>
          <w:rStyle w:val="30"/>
          <w:rFonts w:hint="eastAsia" w:ascii="黑体" w:hAnsi="黑体" w:eastAsia="黑体"/>
          <w:b w:val="0"/>
          <w:color w:val="auto"/>
          <w:highlight w:val="none"/>
        </w:rPr>
        <w:t>财政拨款</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三公”经费支出决算情况说明</w:t>
      </w:r>
      <w:bookmarkEnd w:id="44"/>
      <w:bookmarkEnd w:id="45"/>
      <w:bookmarkEnd w:id="46"/>
    </w:p>
    <w:p>
      <w:pPr>
        <w:spacing w:line="600" w:lineRule="exact"/>
        <w:ind w:firstLine="640"/>
        <w:outlineLvl w:val="2"/>
        <w:rPr>
          <w:rFonts w:ascii="仿宋" w:hAnsi="仿宋" w:eastAsia="仿宋"/>
          <w:b/>
          <w:color w:val="auto"/>
          <w:sz w:val="32"/>
          <w:szCs w:val="32"/>
          <w:highlight w:val="none"/>
        </w:rPr>
      </w:pPr>
      <w:bookmarkStart w:id="47" w:name="_Toc15377216"/>
      <w:r>
        <w:rPr>
          <w:rFonts w:hint="eastAsia" w:ascii="仿宋" w:hAnsi="仿宋" w:eastAsia="仿宋"/>
          <w:b/>
          <w:color w:val="auto"/>
          <w:sz w:val="32"/>
          <w:szCs w:val="32"/>
          <w:highlight w:val="none"/>
        </w:rPr>
        <w:t>（一）“三公”经费财政拨款支出决算总体情况说明</w:t>
      </w:r>
      <w:bookmarkEnd w:id="4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决算数与预算数持平。</w:t>
      </w:r>
    </w:p>
    <w:p>
      <w:pPr>
        <w:spacing w:line="600" w:lineRule="exact"/>
        <w:ind w:firstLine="640"/>
        <w:outlineLvl w:val="2"/>
        <w:rPr>
          <w:rFonts w:ascii="仿宋" w:hAnsi="仿宋" w:eastAsia="仿宋"/>
          <w:b/>
          <w:color w:val="auto"/>
          <w:sz w:val="32"/>
          <w:szCs w:val="32"/>
          <w:highlight w:val="none"/>
        </w:rPr>
      </w:pPr>
      <w:bookmarkStart w:id="48" w:name="_Toc15377217"/>
      <w:r>
        <w:rPr>
          <w:rFonts w:hint="eastAsia" w:ascii="仿宋" w:hAnsi="仿宋" w:eastAsia="仿宋"/>
          <w:b/>
          <w:color w:val="auto"/>
          <w:sz w:val="32"/>
          <w:szCs w:val="32"/>
          <w:highlight w:val="none"/>
        </w:rPr>
        <w:t>（二）“三公”经费财政拨款支出决算具体情况说明</w:t>
      </w:r>
      <w:bookmarkEnd w:id="4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 w:hAnsi="仿宋" w:eastAsia="仿宋"/>
          <w:color w:val="auto"/>
          <w:sz w:val="32"/>
          <w:szCs w:val="32"/>
          <w:highlight w:val="none"/>
          <w:lang w:val="en-US" w:eastAsia="zh-CN"/>
        </w:rPr>
        <w:t>年初未安排预算，</w:t>
      </w:r>
      <w:r>
        <w:rPr>
          <w:rFonts w:hint="eastAsia" w:ascii="仿宋" w:eastAsia="仿宋"/>
          <w:color w:val="000000"/>
          <w:sz w:val="32"/>
          <w:szCs w:val="32"/>
        </w:rPr>
        <w:t>因公出国（境）支出决算与202</w:t>
      </w:r>
      <w:r>
        <w:rPr>
          <w:rFonts w:hint="eastAsia" w:ascii="仿宋" w:eastAsia="仿宋"/>
          <w:color w:val="000000"/>
          <w:sz w:val="32"/>
          <w:szCs w:val="32"/>
          <w:lang w:val="en-US" w:eastAsia="zh-CN"/>
        </w:rPr>
        <w:t>1</w:t>
      </w:r>
      <w:r>
        <w:rPr>
          <w:rFonts w:hint="eastAsia" w:ascii="仿宋" w:eastAsia="仿宋"/>
          <w:color w:val="000000"/>
          <w:sz w:val="32"/>
          <w:szCs w:val="32"/>
        </w:rPr>
        <w:t>年持平，无增减。</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 w:eastAsia="仿宋"/>
          <w:color w:val="000000"/>
          <w:sz w:val="32"/>
          <w:szCs w:val="32"/>
        </w:rPr>
        <w:t>年初未安排预算，</w:t>
      </w:r>
      <w:r>
        <w:rPr>
          <w:rFonts w:hint="eastAsia" w:ascii="仿宋_GB2312" w:eastAsia="仿宋_GB2312"/>
          <w:sz w:val="32"/>
          <w:szCs w:val="32"/>
        </w:rPr>
        <w:t>公务用车购置及运行维护费支出决算</w:t>
      </w:r>
      <w:r>
        <w:rPr>
          <w:rFonts w:hint="eastAsia" w:ascii="仿宋" w:eastAsia="仿宋"/>
          <w:color w:val="000000"/>
          <w:sz w:val="32"/>
          <w:szCs w:val="32"/>
        </w:rPr>
        <w:t>与202</w:t>
      </w:r>
      <w:r>
        <w:rPr>
          <w:rFonts w:hint="eastAsia" w:ascii="仿宋" w:eastAsia="仿宋"/>
          <w:color w:val="000000"/>
          <w:sz w:val="32"/>
          <w:szCs w:val="32"/>
          <w:lang w:val="en-US" w:eastAsia="zh-CN"/>
        </w:rPr>
        <w:t>1</w:t>
      </w:r>
      <w:r>
        <w:rPr>
          <w:rFonts w:hint="eastAsia" w:ascii="仿宋" w:eastAsia="仿宋"/>
          <w:color w:val="000000"/>
          <w:sz w:val="32"/>
          <w:szCs w:val="32"/>
        </w:rPr>
        <w:t>年持平，无增减。</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p>
    <w:p>
      <w:pPr>
        <w:spacing w:line="600" w:lineRule="exact"/>
        <w:ind w:firstLine="640"/>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3" w:firstLineChars="200"/>
        <w:rPr>
          <w:rFonts w:hint="eastAsia"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0%</w:t>
      </w:r>
      <w:r>
        <w:rPr>
          <w:rStyle w:val="18"/>
          <w:rFonts w:hint="eastAsia" w:ascii="仿宋" w:hAnsi="仿宋" w:eastAsia="仿宋"/>
          <w:b w:val="0"/>
          <w:bCs/>
          <w:sz w:val="32"/>
          <w:szCs w:val="32"/>
        </w:rPr>
        <w:t>。</w:t>
      </w:r>
      <w:r>
        <w:rPr>
          <w:rFonts w:hint="eastAsia" w:ascii="仿宋" w:eastAsia="仿宋"/>
          <w:color w:val="000000"/>
          <w:sz w:val="32"/>
          <w:szCs w:val="32"/>
        </w:rPr>
        <w:t>年初未安排预算，公务接待费</w:t>
      </w:r>
      <w:r>
        <w:rPr>
          <w:rFonts w:hint="eastAsia" w:ascii="仿宋_GB2312" w:eastAsia="仿宋_GB2312"/>
          <w:sz w:val="32"/>
          <w:szCs w:val="32"/>
        </w:rPr>
        <w:t>支出决算</w:t>
      </w:r>
      <w:r>
        <w:rPr>
          <w:rFonts w:hint="eastAsia" w:ascii="仿宋" w:eastAsia="仿宋"/>
          <w:color w:val="000000"/>
          <w:sz w:val="32"/>
          <w:szCs w:val="32"/>
        </w:rPr>
        <w:t>与202</w:t>
      </w:r>
      <w:r>
        <w:rPr>
          <w:rFonts w:hint="eastAsia" w:ascii="仿宋" w:eastAsia="仿宋"/>
          <w:color w:val="000000"/>
          <w:sz w:val="32"/>
          <w:szCs w:val="32"/>
          <w:lang w:val="en-US" w:eastAsia="zh-CN"/>
        </w:rPr>
        <w:t>1</w:t>
      </w:r>
      <w:r>
        <w:rPr>
          <w:rFonts w:hint="eastAsia" w:ascii="仿宋" w:eastAsia="仿宋"/>
          <w:color w:val="000000"/>
          <w:sz w:val="32"/>
          <w:szCs w:val="32"/>
        </w:rPr>
        <w:t>年持平，无增减。</w:t>
      </w:r>
    </w:p>
    <w:p>
      <w:pPr>
        <w:spacing w:line="600" w:lineRule="exact"/>
        <w:ind w:firstLine="640"/>
        <w:outlineLvl w:val="1"/>
        <w:rPr>
          <w:rStyle w:val="30"/>
          <w:rFonts w:ascii="黑体" w:hAnsi="黑体" w:eastAsia="黑体"/>
          <w:color w:val="auto"/>
          <w:highlight w:val="none"/>
        </w:rPr>
      </w:pPr>
      <w:bookmarkStart w:id="49" w:name="_Toc15377218"/>
      <w:bookmarkStart w:id="50" w:name="_Toc15396610"/>
      <w:bookmarkStart w:id="51" w:name="_Toc9661"/>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9"/>
      <w:bookmarkEnd w:id="50"/>
      <w:bookmarkEnd w:id="5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15"/>
        <w:ind w:left="0" w:leftChars="0" w:firstLine="640" w:firstLineChars="200"/>
        <w:rPr>
          <w:rFonts w:hint="default" w:eastAsia="仿宋_GB2312"/>
          <w:lang w:val="en-US" w:eastAsia="zh-CN"/>
        </w:rPr>
      </w:pPr>
      <w:r>
        <w:rPr>
          <w:rFonts w:hint="eastAsia" w:eastAsia="仿宋_GB2312"/>
          <w:color w:val="auto"/>
          <w:sz w:val="32"/>
          <w:szCs w:val="32"/>
          <w:highlight w:val="none"/>
          <w:lang w:val="en-US" w:eastAsia="zh-CN"/>
        </w:rPr>
        <w:t>2022年本单位未在政府性基金预算拨款安排“三公经费”支出。</w:t>
      </w:r>
    </w:p>
    <w:p>
      <w:pPr>
        <w:numPr>
          <w:ilvl w:val="0"/>
          <w:numId w:val="3"/>
        </w:numPr>
        <w:spacing w:line="600" w:lineRule="exact"/>
        <w:ind w:firstLine="640"/>
        <w:outlineLvl w:val="1"/>
        <w:rPr>
          <w:rStyle w:val="30"/>
          <w:rFonts w:ascii="黑体" w:hAnsi="黑体" w:eastAsia="黑体"/>
          <w:b w:val="0"/>
          <w:color w:val="auto"/>
          <w:highlight w:val="none"/>
        </w:rPr>
      </w:pPr>
      <w:bookmarkStart w:id="52" w:name="_Toc12260"/>
      <w:bookmarkStart w:id="53" w:name="_Toc15377219"/>
      <w:bookmarkStart w:id="54" w:name="_Toc15396611"/>
      <w:r>
        <w:rPr>
          <w:rStyle w:val="30"/>
          <w:rFonts w:hint="eastAsia" w:ascii="黑体" w:hAnsi="黑体" w:eastAsia="黑体"/>
          <w:b w:val="0"/>
          <w:color w:val="auto"/>
          <w:highlight w:val="none"/>
        </w:rPr>
        <w:t>国有资本经营预算支出决算情况说明</w:t>
      </w:r>
      <w:bookmarkEnd w:id="52"/>
      <w:bookmarkEnd w:id="53"/>
      <w:bookmarkEnd w:id="54"/>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30"/>
          <w:rFonts w:hint="eastAsia" w:ascii="黑体" w:hAnsi="黑体" w:eastAsia="黑体"/>
          <w:b w:val="0"/>
          <w:color w:val="auto"/>
          <w:highlight w:val="none"/>
        </w:rPr>
      </w:pPr>
      <w:bookmarkStart w:id="55" w:name="_Toc29815"/>
      <w:bookmarkStart w:id="56" w:name="_Toc15377221"/>
      <w:bookmarkStart w:id="57" w:name="_Toc15396612"/>
      <w:r>
        <w:rPr>
          <w:rStyle w:val="30"/>
          <w:rFonts w:hint="eastAsia" w:ascii="黑体" w:hAnsi="黑体" w:eastAsia="黑体"/>
          <w:b w:val="0"/>
          <w:color w:val="auto"/>
          <w:highlight w:val="none"/>
        </w:rPr>
        <w:t>其他重要事项的情况说明</w:t>
      </w:r>
      <w:bookmarkEnd w:id="55"/>
      <w:bookmarkEnd w:id="56"/>
      <w:bookmarkEnd w:id="57"/>
    </w:p>
    <w:p>
      <w:pPr>
        <w:spacing w:line="600" w:lineRule="exact"/>
        <w:ind w:firstLine="643" w:firstLineChars="200"/>
        <w:outlineLvl w:val="2"/>
        <w:rPr>
          <w:rFonts w:ascii="仿宋" w:hAnsi="仿宋" w:eastAsia="仿宋"/>
          <w:color w:val="auto"/>
          <w:sz w:val="32"/>
          <w:szCs w:val="32"/>
          <w:highlight w:val="none"/>
        </w:rPr>
      </w:pPr>
      <w:bookmarkStart w:id="58" w:name="_Toc15377222"/>
      <w:r>
        <w:rPr>
          <w:rFonts w:hint="eastAsia" w:ascii="仿宋" w:hAnsi="仿宋" w:eastAsia="仿宋"/>
          <w:b/>
          <w:color w:val="auto"/>
          <w:sz w:val="32"/>
          <w:szCs w:val="32"/>
          <w:highlight w:val="none"/>
        </w:rPr>
        <w:t>（一）机关运行经费支出情况</w:t>
      </w:r>
      <w:bookmarkEnd w:id="58"/>
    </w:p>
    <w:p>
      <w:pPr>
        <w:spacing w:line="600" w:lineRule="exact"/>
        <w:ind w:firstLine="640" w:firstLineChars="200"/>
        <w:rPr>
          <w:rFonts w:ascii="仿宋" w:hAnsi="仿宋" w:eastAsia="仿宋"/>
          <w:b/>
          <w:color w:val="auto"/>
          <w:sz w:val="32"/>
          <w:szCs w:val="32"/>
          <w:highlight w:val="none"/>
        </w:rPr>
      </w:pPr>
      <w:bookmarkStart w:id="59" w:name="_Toc15377223"/>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与2021年决算数持平。</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59"/>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广元市精神卫生中心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655.78</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115.33</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540.45</w:t>
      </w:r>
      <w:r>
        <w:rPr>
          <w:rFonts w:hint="eastAsia" w:ascii="仿宋_GB2312" w:eastAsia="仿宋_GB2312"/>
          <w:color w:val="auto"/>
          <w:sz w:val="32"/>
          <w:szCs w:val="32"/>
          <w:highlight w:val="none"/>
        </w:rPr>
        <w:t>万元。主要用</w:t>
      </w:r>
      <w:r>
        <w:rPr>
          <w:rFonts w:hint="eastAsia" w:ascii="仿宋_GB2312" w:eastAsia="仿宋_GB2312"/>
          <w:color w:val="auto"/>
          <w:sz w:val="32"/>
          <w:szCs w:val="32"/>
          <w:highlight w:val="none"/>
          <w:lang w:eastAsia="zh-CN"/>
        </w:rPr>
        <w:t>科教综合楼智慧教室和技能中心等设备购置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115.33</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17.59</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15.54</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2.37</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0" w:name="_Toc15377224"/>
      <w:r>
        <w:rPr>
          <w:rFonts w:hint="eastAsia" w:ascii="仿宋" w:hAnsi="仿宋" w:eastAsia="仿宋"/>
          <w:b/>
          <w:color w:val="auto"/>
          <w:sz w:val="32"/>
          <w:szCs w:val="32"/>
          <w:highlight w:val="none"/>
        </w:rPr>
        <w:t>（三）国有资产占有使用情况</w:t>
      </w:r>
      <w:bookmarkEnd w:id="60"/>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广元市精神卫生中心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辆，其中：特种专业技术用车</w:t>
      </w:r>
      <w:r>
        <w:rPr>
          <w:rFonts w:hint="eastAsia" w:ascii="仿宋_GB2312" w:eastAsia="仿宋_GB2312"/>
          <w:color w:val="auto"/>
          <w:sz w:val="32"/>
          <w:szCs w:val="32"/>
          <w:highlight w:val="none"/>
          <w:lang w:val="en-US" w:eastAsia="zh-CN"/>
        </w:rPr>
        <w:t>20辆，</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sz w:val="32"/>
          <w:szCs w:val="32"/>
        </w:rPr>
        <w:t>公务活动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58</w:t>
      </w:r>
      <w:r>
        <w:rPr>
          <w:rFonts w:hint="eastAsia" w:ascii="仿宋_GB2312" w:eastAsia="仿宋_GB2312"/>
          <w:color w:val="auto"/>
          <w:sz w:val="32"/>
          <w:szCs w:val="32"/>
          <w:highlight w:val="none"/>
        </w:rPr>
        <w:t>台。</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red"/>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年度预算编制阶段，组织对职业病防治</w:t>
      </w:r>
      <w:r>
        <w:rPr>
          <w:rFonts w:hint="eastAsia" w:hAnsi="仿宋_GB2312" w:cs="仿宋_GB2312"/>
          <w:color w:val="auto"/>
          <w:sz w:val="32"/>
          <w:szCs w:val="32"/>
          <w:highlight w:val="none"/>
          <w:lang w:eastAsia="zh-CN"/>
        </w:rPr>
        <w:t>、医疗卫生机构能力建设等</w:t>
      </w:r>
      <w:r>
        <w:rPr>
          <w:rFonts w:hint="eastAsia" w:hAnsi="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Style w:val="4"/>
        <w:numPr>
          <w:ilvl w:val="0"/>
          <w:numId w:val="4"/>
        </w:numPr>
        <w:bidi w:val="0"/>
        <w:jc w:val="center"/>
        <w:rPr>
          <w:rFonts w:ascii="宋体"/>
          <w:b/>
          <w:color w:val="auto"/>
          <w:sz w:val="44"/>
          <w:szCs w:val="44"/>
          <w:highlight w:val="none"/>
        </w:rPr>
      </w:pPr>
      <w:bookmarkStart w:id="61" w:name="_Toc15396613"/>
      <w:bookmarkStart w:id="62" w:name="_Toc15377225"/>
      <w:bookmarkStart w:id="63" w:name="_Toc1562"/>
      <w:r>
        <w:rPr>
          <w:rFonts w:hint="eastAsia"/>
        </w:rPr>
        <w:t>名词解释</w:t>
      </w:r>
      <w:bookmarkEnd w:id="61"/>
      <w:bookmarkEnd w:id="62"/>
      <w:bookmarkEnd w:id="63"/>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s="仿宋_GB2312"/>
          <w:color w:val="auto"/>
          <w:kern w:val="2"/>
          <w:sz w:val="32"/>
          <w:szCs w:val="32"/>
        </w:rPr>
        <w:t>医疗机构医疗收入</w:t>
      </w:r>
      <w:r>
        <w:rPr>
          <w:rFonts w:hint="eastAsia" w:ascii="仿宋_GB2312" w:eastAsia="仿宋_GB2312" w:cs="仿宋_GB2312"/>
          <w:color w:val="auto"/>
          <w:kern w:val="2"/>
          <w:sz w:val="32"/>
          <w:szCs w:val="32"/>
          <w:lang w:eastAsia="zh-CN"/>
        </w:rPr>
        <w:t>、科教收入</w:t>
      </w:r>
      <w:r>
        <w:rPr>
          <w:rFonts w:hint="eastAsia" w:ascii="仿宋_GB2312" w:eastAsia="仿宋_GB2312" w:cs="仿宋_GB2312"/>
          <w:color w:val="auto"/>
          <w:kern w:val="2"/>
          <w:sz w:val="32"/>
          <w:szCs w:val="32"/>
        </w:rPr>
        <w:t>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s="仿宋_GB2312"/>
          <w:color w:val="auto"/>
          <w:kern w:val="2"/>
          <w:sz w:val="32"/>
          <w:szCs w:val="32"/>
        </w:rPr>
        <w:t>银行利息收入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科学技术支出（类）科技重大项目（款）重点研发计划（项）</w:t>
      </w:r>
      <w:r>
        <w:rPr>
          <w:rFonts w:hint="eastAsia" w:ascii="仿宋_GB2312" w:eastAsia="仿宋_GB2312"/>
          <w:color w:val="auto"/>
          <w:sz w:val="32"/>
          <w:szCs w:val="32"/>
          <w:highlight w:val="none"/>
          <w:lang w:val="en-US" w:eastAsia="zh-CN"/>
        </w:rPr>
        <w:t>2060902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反映用于重点研发计划的有关经费支出</w:t>
      </w:r>
      <w:r>
        <w:rPr>
          <w:rFonts w:hint="eastAsia" w:ascii="仿宋_GB2312" w:eastAsia="仿宋_GB2312"/>
          <w:color w:val="auto"/>
          <w:sz w:val="32"/>
          <w:szCs w:val="32"/>
          <w:highlight w:val="none"/>
        </w:rPr>
        <w:t>。</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ascii="仿宋_GB2312" w:eastAsia="仿宋_GB2312"/>
          <w:color w:val="auto"/>
          <w:sz w:val="32"/>
          <w:szCs w:val="32"/>
          <w:highlight w:val="none"/>
        </w:rPr>
        <w:t>.</w:t>
      </w:r>
      <w:r>
        <w:rPr>
          <w:rFonts w:hint="eastAsia" w:ascii="仿宋_GB2312" w:eastAsia="仿宋_GB2312"/>
          <w:color w:val="auto"/>
          <w:sz w:val="32"/>
          <w:szCs w:val="32"/>
          <w:highlight w:val="none"/>
        </w:rPr>
        <w:t>社会保障和就业（类）人力资源和社会保障管理事务（款）引进人才费用（项）</w:t>
      </w:r>
      <w:r>
        <w:rPr>
          <w:rFonts w:hint="eastAsia" w:ascii="仿宋_GB2312" w:eastAsia="仿宋_GB2312"/>
          <w:color w:val="auto"/>
          <w:sz w:val="32"/>
          <w:szCs w:val="32"/>
          <w:highlight w:val="none"/>
          <w:lang w:val="en-US" w:eastAsia="zh-CN"/>
        </w:rPr>
        <w:t>2080116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反映用于引进人才补助等方面的支出</w:t>
      </w:r>
      <w:r>
        <w:rPr>
          <w:rFonts w:hint="eastAsia" w:ascii="仿宋_GB2312" w:eastAsia="仿宋_GB2312"/>
          <w:color w:val="auto"/>
          <w:sz w:val="32"/>
          <w:szCs w:val="32"/>
          <w:highlight w:val="none"/>
        </w:rPr>
        <w:t>。</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ascii="仿宋_GB2312" w:eastAsia="仿宋_GB2312"/>
          <w:color w:val="auto"/>
          <w:sz w:val="32"/>
          <w:szCs w:val="32"/>
          <w:highlight w:val="none"/>
        </w:rPr>
        <w:t>.</w:t>
      </w:r>
      <w:r>
        <w:rPr>
          <w:rFonts w:hint="eastAsia" w:ascii="仿宋_GB2312" w:eastAsia="仿宋_GB2312"/>
          <w:color w:val="auto"/>
          <w:sz w:val="32"/>
          <w:szCs w:val="32"/>
          <w:highlight w:val="none"/>
        </w:rPr>
        <w:t>社会保障和就业（类）人力资源和社会保障管理事务（款）其他人力资源和社会保障管理事务支出（项）</w:t>
      </w:r>
      <w:r>
        <w:rPr>
          <w:rFonts w:hint="eastAsia" w:ascii="仿宋_GB2312" w:eastAsia="仿宋_GB2312"/>
          <w:color w:val="auto"/>
          <w:sz w:val="32"/>
          <w:szCs w:val="32"/>
          <w:highlight w:val="none"/>
          <w:lang w:val="en-US" w:eastAsia="zh-CN"/>
        </w:rPr>
        <w:t>2080199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反映其他用于人力资源和社会保障管理事务方面的支出</w:t>
      </w:r>
      <w:r>
        <w:rPr>
          <w:rFonts w:hint="eastAsia" w:ascii="仿宋_GB2312" w:eastAsia="仿宋_GB2312"/>
          <w:color w:val="auto"/>
          <w:sz w:val="32"/>
          <w:szCs w:val="32"/>
          <w:highlight w:val="none"/>
        </w:rPr>
        <w:t>。</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社会保障和就业（类）行政事业单位养老支出（款）机关事业单位基本养老保险缴费支出（项）</w:t>
      </w:r>
      <w:r>
        <w:rPr>
          <w:rFonts w:hint="eastAsia" w:ascii="仿宋_GB2312" w:eastAsia="仿宋_GB2312"/>
          <w:color w:val="auto"/>
          <w:sz w:val="32"/>
          <w:szCs w:val="32"/>
          <w:highlight w:val="none"/>
          <w:lang w:val="en-US" w:eastAsia="zh-CN"/>
        </w:rPr>
        <w:t>2080505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反映机关事业单位实施养老保险制度由单位缴纳的基本养老保险费支出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社会保障和就业（类）行政事业单位养老支出（款）机关事业单位职业年金缴费支出（项）</w:t>
      </w:r>
      <w:r>
        <w:rPr>
          <w:rFonts w:hint="eastAsia" w:ascii="仿宋_GB2312" w:eastAsia="仿宋_GB2312"/>
          <w:color w:val="auto"/>
          <w:sz w:val="32"/>
          <w:szCs w:val="32"/>
          <w:highlight w:val="none"/>
          <w:lang w:val="en-US" w:eastAsia="zh-CN"/>
        </w:rPr>
        <w:t>2080506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反映机关事业单位实施养老保险制度由单位实际缴纳的职业年金支出</w:t>
      </w:r>
      <w:r>
        <w:rPr>
          <w:rFonts w:hint="eastAsia" w:ascii="仿宋_GB2312" w:eastAsia="仿宋_GB2312"/>
          <w:color w:val="auto"/>
          <w:sz w:val="32"/>
          <w:szCs w:val="32"/>
          <w:highlight w:val="none"/>
        </w:rPr>
        <w:t>。</w:t>
      </w:r>
    </w:p>
    <w:p>
      <w:pPr>
        <w:ind w:firstLine="640" w:firstLineChars="200"/>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社会保障和就业（类）抚恤（款）死亡抚恤（项）</w:t>
      </w:r>
      <w:r>
        <w:rPr>
          <w:rFonts w:hint="eastAsia" w:ascii="仿宋_GB2312" w:eastAsia="仿宋_GB2312"/>
          <w:color w:val="auto"/>
          <w:sz w:val="32"/>
          <w:szCs w:val="32"/>
          <w:highlight w:val="none"/>
          <w:lang w:val="en-US" w:eastAsia="zh-CN"/>
        </w:rPr>
        <w:t>2080801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反映按规定用于烈士和牺牲、病故人员家属的一次性和定期抚恤金、丧葬补助费</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（类）公立医院（款）综合医院（项）</w:t>
      </w:r>
      <w:r>
        <w:rPr>
          <w:rFonts w:hint="eastAsia" w:ascii="仿宋_GB2312" w:eastAsia="仿宋_GB2312"/>
          <w:color w:val="auto"/>
          <w:sz w:val="32"/>
          <w:szCs w:val="32"/>
          <w:highlight w:val="none"/>
          <w:lang w:val="en-US" w:eastAsia="zh-CN"/>
        </w:rPr>
        <w:t>2100201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反映卫生健康、中医部门所属的城市综合性医院的支出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（类）公立医院（款）传染病医院（项）</w:t>
      </w:r>
      <w:r>
        <w:rPr>
          <w:rFonts w:hint="eastAsia" w:ascii="仿宋_GB2312" w:eastAsia="仿宋_GB2312"/>
          <w:color w:val="auto"/>
          <w:sz w:val="32"/>
          <w:szCs w:val="32"/>
          <w:highlight w:val="none"/>
          <w:lang w:val="en-US" w:eastAsia="zh-CN"/>
        </w:rPr>
        <w:t>2100203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反映卫生健康、中医部门所属的专门收治各类传染病人医院的支出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（类）公立医院（款）精神病医院（项）</w:t>
      </w:r>
      <w:r>
        <w:rPr>
          <w:rFonts w:hint="eastAsia" w:ascii="仿宋_GB2312" w:eastAsia="仿宋_GB2312"/>
          <w:color w:val="auto"/>
          <w:sz w:val="32"/>
          <w:szCs w:val="32"/>
          <w:highlight w:val="none"/>
          <w:lang w:val="en-US" w:eastAsia="zh-CN"/>
        </w:rPr>
        <w:t>2100205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反映专门收治精神病人医院的支出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（类）公共卫生（款）重大公共卫生服务（项）</w:t>
      </w:r>
      <w:r>
        <w:rPr>
          <w:rFonts w:hint="eastAsia" w:ascii="仿宋_GB2312" w:eastAsia="仿宋_GB2312"/>
          <w:color w:val="auto"/>
          <w:sz w:val="32"/>
          <w:szCs w:val="32"/>
          <w:highlight w:val="none"/>
          <w:lang w:val="en-US" w:eastAsia="zh-CN"/>
        </w:rPr>
        <w:t>2100409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反映重大疾病、重大传染病预防控制等重大公共卫生服务的项目支出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（类）行政事业单位医疗（款）事业单位医疗（项）</w:t>
      </w:r>
      <w:r>
        <w:rPr>
          <w:rFonts w:hint="eastAsia" w:ascii="仿宋_GB2312" w:eastAsia="仿宋_GB2312"/>
          <w:color w:val="auto"/>
          <w:sz w:val="32"/>
          <w:szCs w:val="32"/>
          <w:highlight w:val="none"/>
          <w:lang w:val="en-US" w:eastAsia="zh-CN"/>
        </w:rPr>
        <w:t>2101102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反映财政部门安排的事业单位基本医疗保险缴费经费</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（类）医疗保障管理事务（款）其他医疗保障管理事务支出（项）</w:t>
      </w:r>
      <w:r>
        <w:rPr>
          <w:rFonts w:hint="eastAsia" w:ascii="仿宋_GB2312" w:eastAsia="仿宋_GB2312"/>
          <w:color w:val="auto"/>
          <w:sz w:val="32"/>
          <w:szCs w:val="32"/>
          <w:highlight w:val="none"/>
          <w:lang w:val="en-US" w:eastAsia="zh-CN"/>
        </w:rPr>
        <w:t>2101599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反映其他</w:t>
      </w:r>
      <w:r>
        <w:rPr>
          <w:rFonts w:hint="eastAsia" w:ascii="仿宋_GB2312" w:eastAsia="仿宋_GB2312"/>
          <w:color w:val="auto"/>
          <w:sz w:val="32"/>
          <w:szCs w:val="32"/>
          <w:highlight w:val="none"/>
          <w:lang w:val="en-US" w:eastAsia="zh-CN"/>
        </w:rPr>
        <w:t>用于医疗保障管理事务方面的支出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rPr>
        <w:t>（类）其他卫生健康支出（款）其他卫生健康支出（项）</w:t>
      </w:r>
      <w:r>
        <w:rPr>
          <w:rFonts w:hint="eastAsia" w:ascii="仿宋_GB2312" w:eastAsia="仿宋_GB2312"/>
          <w:color w:val="auto"/>
          <w:sz w:val="32"/>
          <w:szCs w:val="32"/>
          <w:highlight w:val="none"/>
          <w:lang w:val="en-US" w:eastAsia="zh-CN"/>
        </w:rPr>
        <w:t>2109999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反映其他用于卫生健康方面的支出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住房保障</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（类）住房改革支出（款）住房公积金（项）</w:t>
      </w:r>
      <w:r>
        <w:rPr>
          <w:rFonts w:hint="eastAsia" w:ascii="仿宋_GB2312" w:eastAsia="仿宋_GB2312"/>
          <w:color w:val="auto"/>
          <w:sz w:val="32"/>
          <w:szCs w:val="32"/>
          <w:highlight w:val="none"/>
          <w:lang w:val="en-US" w:eastAsia="zh-CN"/>
        </w:rPr>
        <w:t>2210201</w:t>
      </w:r>
      <w:r>
        <w:rPr>
          <w:rFonts w:hint="eastAsia" w:ascii="仿宋_GB2312" w:eastAsia="仿宋_GB2312"/>
          <w:color w:val="auto"/>
          <w:sz w:val="32"/>
          <w:szCs w:val="32"/>
          <w:highlight w:val="none"/>
        </w:rPr>
        <w:t>：</w:t>
      </w:r>
      <w:r>
        <w:rPr>
          <w:rFonts w:hint="eastAsia" w:ascii="仿宋_GB2312" w:eastAsia="仿宋_GB2312" w:cs="仿宋_GB2312"/>
          <w:sz w:val="32"/>
          <w:szCs w:val="32"/>
        </w:rPr>
        <w:t>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9"/>
          <w:rFonts w:hint="eastAsia" w:ascii="黑体" w:hAnsi="黑体" w:eastAsia="黑体"/>
          <w:b w:val="0"/>
          <w:color w:val="auto"/>
          <w:highlight w:val="none"/>
        </w:rPr>
      </w:pPr>
      <w:bookmarkStart w:id="64" w:name="_Toc15377226"/>
      <w:r>
        <w:rPr>
          <w:rFonts w:ascii="宋体"/>
          <w:b/>
          <w:color w:val="auto"/>
          <w:sz w:val="44"/>
          <w:szCs w:val="44"/>
          <w:highlight w:val="none"/>
        </w:rPr>
        <w:br w:type="page"/>
      </w:r>
      <w:bookmarkStart w:id="65" w:name="_Toc15396614"/>
      <w:bookmarkStart w:id="66" w:name="_Toc22995"/>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65"/>
      <w:bookmarkEnd w:id="66"/>
    </w:p>
    <w:p>
      <w:pPr>
        <w:jc w:val="center"/>
        <w:rPr>
          <w:rFonts w:hint="eastAsia" w:ascii="宋体" w:hAnsi="宋体" w:eastAsia="宋体" w:cs="宋体"/>
          <w:color w:val="auto"/>
          <w:kern w:val="0"/>
          <w:sz w:val="32"/>
          <w:szCs w:val="32"/>
          <w:highlight w:val="none"/>
          <w:lang w:val="en-US" w:eastAsia="zh-CN" w:bidi="ar-SA"/>
        </w:rPr>
      </w:pPr>
    </w:p>
    <w:p>
      <w:pPr>
        <w:ind w:firstLine="640" w:firstLineChars="200"/>
        <w:jc w:val="both"/>
        <w:rPr>
          <w:rFonts w:hint="eastAsia"/>
        </w:rPr>
      </w:pPr>
      <w:r>
        <w:rPr>
          <w:rFonts w:hint="eastAsia" w:ascii="宋体" w:hAnsi="宋体" w:eastAsia="宋体" w:cs="宋体"/>
          <w:color w:val="auto"/>
          <w:kern w:val="0"/>
          <w:sz w:val="32"/>
          <w:szCs w:val="32"/>
          <w:highlight w:val="none"/>
          <w:lang w:val="en-US" w:eastAsia="zh-CN" w:bidi="ar-SA"/>
        </w:rPr>
        <w:t>预算项目支出绩效自评表</w:t>
      </w:r>
      <w:r>
        <w:rPr>
          <w:rFonts w:hint="eastAsia" w:ascii="宋体" w:hAnsi="宋体" w:cs="宋体"/>
          <w:color w:val="auto"/>
          <w:kern w:val="0"/>
          <w:sz w:val="32"/>
          <w:szCs w:val="32"/>
          <w:highlight w:val="none"/>
          <w:lang w:val="en-US" w:eastAsia="zh-CN" w:bidi="ar-SA"/>
        </w:rPr>
        <w:t>详见附件。</w:t>
      </w:r>
    </w:p>
    <w:p>
      <w:pPr>
        <w:pStyle w:val="3"/>
        <w:rPr>
          <w:rFonts w:hint="eastAsia"/>
        </w:rPr>
      </w:pPr>
    </w:p>
    <w:p>
      <w:pPr>
        <w:rPr>
          <w:rFonts w:hint="eastAsia" w:ascii="黑体" w:hAnsi="黑体" w:eastAsia="黑体"/>
          <w:color w:val="auto"/>
          <w:sz w:val="44"/>
          <w:szCs w:val="44"/>
          <w:highlight w:val="none"/>
        </w:rPr>
      </w:pPr>
      <w:bookmarkStart w:id="67" w:name="_Toc12845"/>
      <w:bookmarkStart w:id="68" w:name="_Toc15396618"/>
    </w:p>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64"/>
      <w:bookmarkEnd w:id="67"/>
      <w:bookmarkEnd w:id="68"/>
      <w:bookmarkStart w:id="69" w:name="_Toc15396619"/>
    </w:p>
    <w:p>
      <w:pPr>
        <w:pStyle w:val="5"/>
        <w:rPr>
          <w:rFonts w:ascii="仿宋" w:hAnsi="仿宋" w:eastAsia="仿宋"/>
          <w:color w:val="auto"/>
          <w:highlight w:val="none"/>
        </w:rPr>
      </w:pPr>
      <w:bookmarkStart w:id="70" w:name="_Toc9961"/>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69"/>
      <w:bookmarkEnd w:id="70"/>
    </w:p>
    <w:p>
      <w:pPr>
        <w:pStyle w:val="5"/>
        <w:rPr>
          <w:rFonts w:ascii="仿宋" w:hAnsi="仿宋" w:eastAsia="仿宋"/>
          <w:color w:val="auto"/>
          <w:highlight w:val="none"/>
        </w:rPr>
      </w:pPr>
      <w:bookmarkStart w:id="71" w:name="_Toc31436"/>
      <w:bookmarkStart w:id="72"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71"/>
      <w:bookmarkEnd w:id="72"/>
    </w:p>
    <w:p>
      <w:pPr>
        <w:pStyle w:val="5"/>
        <w:rPr>
          <w:rFonts w:ascii="仿宋" w:hAnsi="仿宋" w:eastAsia="仿宋"/>
          <w:color w:val="auto"/>
          <w:highlight w:val="none"/>
        </w:rPr>
      </w:pPr>
      <w:bookmarkStart w:id="73" w:name="_Toc15396621"/>
      <w:bookmarkStart w:id="74" w:name="_Toc28627"/>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73"/>
      <w:bookmarkEnd w:id="74"/>
    </w:p>
    <w:p>
      <w:pPr>
        <w:pStyle w:val="5"/>
        <w:rPr>
          <w:rFonts w:ascii="仿宋" w:hAnsi="仿宋" w:eastAsia="仿宋"/>
          <w:b w:val="0"/>
          <w:color w:val="auto"/>
          <w:highlight w:val="none"/>
        </w:rPr>
      </w:pPr>
      <w:bookmarkStart w:id="75" w:name="_Toc15396622"/>
      <w:bookmarkStart w:id="76" w:name="_Toc27100"/>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75"/>
      <w:bookmarkEnd w:id="76"/>
    </w:p>
    <w:p>
      <w:pPr>
        <w:pStyle w:val="5"/>
        <w:rPr>
          <w:rStyle w:val="30"/>
          <w:rFonts w:ascii="仿宋" w:hAnsi="仿宋" w:eastAsia="仿宋"/>
          <w:b w:val="0"/>
          <w:bCs w:val="0"/>
          <w:color w:val="auto"/>
          <w:highlight w:val="none"/>
        </w:rPr>
      </w:pPr>
      <w:bookmarkStart w:id="77" w:name="_Toc11993"/>
      <w:bookmarkStart w:id="7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77"/>
      <w:bookmarkEnd w:id="78"/>
      <w:bookmarkStart w:id="79" w:name="_Toc15396624"/>
    </w:p>
    <w:p>
      <w:pPr>
        <w:pStyle w:val="5"/>
        <w:rPr>
          <w:rFonts w:ascii="仿宋" w:hAnsi="仿宋" w:eastAsia="仿宋"/>
          <w:color w:val="auto"/>
          <w:highlight w:val="none"/>
        </w:rPr>
      </w:pPr>
      <w:bookmarkStart w:id="80" w:name="_Toc19268"/>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79"/>
      <w:bookmarkEnd w:id="80"/>
    </w:p>
    <w:p>
      <w:pPr>
        <w:pStyle w:val="5"/>
        <w:rPr>
          <w:rFonts w:ascii="仿宋" w:hAnsi="仿宋" w:eastAsia="仿宋"/>
          <w:color w:val="auto"/>
          <w:highlight w:val="none"/>
        </w:rPr>
      </w:pPr>
      <w:bookmarkStart w:id="81" w:name="_Toc26057"/>
      <w:bookmarkStart w:id="82"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81"/>
      <w:bookmarkEnd w:id="82"/>
    </w:p>
    <w:p>
      <w:pPr>
        <w:pStyle w:val="5"/>
        <w:rPr>
          <w:rFonts w:ascii="仿宋" w:hAnsi="仿宋" w:eastAsia="仿宋"/>
          <w:color w:val="auto"/>
          <w:highlight w:val="none"/>
        </w:rPr>
      </w:pPr>
      <w:bookmarkStart w:id="83" w:name="_Toc15396626"/>
      <w:bookmarkStart w:id="84" w:name="_Toc2895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83"/>
      <w:bookmarkEnd w:id="84"/>
    </w:p>
    <w:p>
      <w:pPr>
        <w:pStyle w:val="5"/>
        <w:rPr>
          <w:rFonts w:ascii="仿宋" w:hAnsi="仿宋" w:eastAsia="仿宋"/>
          <w:color w:val="auto"/>
          <w:highlight w:val="none"/>
        </w:rPr>
      </w:pPr>
      <w:bookmarkStart w:id="85" w:name="_Toc32749"/>
      <w:bookmarkStart w:id="86"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85"/>
      <w:bookmarkEnd w:id="86"/>
    </w:p>
    <w:p>
      <w:pPr>
        <w:pStyle w:val="5"/>
        <w:rPr>
          <w:rFonts w:ascii="仿宋" w:hAnsi="仿宋" w:eastAsia="仿宋"/>
          <w:color w:val="auto"/>
          <w:highlight w:val="none"/>
        </w:rPr>
      </w:pPr>
      <w:bookmarkStart w:id="87" w:name="_Toc15396628"/>
      <w:bookmarkStart w:id="88" w:name="_Toc15562"/>
      <w:r>
        <w:rPr>
          <w:rStyle w:val="30"/>
          <w:rFonts w:hint="eastAsia" w:ascii="仿宋" w:hAnsi="仿宋" w:eastAsia="仿宋"/>
          <w:b w:val="0"/>
          <w:bCs w:val="0"/>
          <w:color w:val="auto"/>
          <w:highlight w:val="none"/>
        </w:rPr>
        <w:t>十、</w:t>
      </w:r>
      <w:bookmarkEnd w:id="87"/>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88"/>
    </w:p>
    <w:p>
      <w:pPr>
        <w:pStyle w:val="5"/>
        <w:rPr>
          <w:rFonts w:ascii="仿宋" w:hAnsi="仿宋" w:eastAsia="仿宋"/>
          <w:color w:val="auto"/>
          <w:highlight w:val="none"/>
        </w:rPr>
      </w:pPr>
      <w:bookmarkStart w:id="89" w:name="_Toc15396629"/>
      <w:bookmarkStart w:id="90" w:name="_Toc5945"/>
      <w:r>
        <w:rPr>
          <w:rStyle w:val="30"/>
          <w:rFonts w:hint="eastAsia" w:ascii="仿宋" w:hAnsi="仿宋" w:eastAsia="仿宋"/>
          <w:b w:val="0"/>
          <w:bCs w:val="0"/>
          <w:color w:val="auto"/>
          <w:highlight w:val="none"/>
        </w:rPr>
        <w:t>十一、</w:t>
      </w:r>
      <w:bookmarkEnd w:id="89"/>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w:t>
      </w:r>
      <w:r>
        <w:rPr>
          <w:rStyle w:val="30"/>
          <w:rFonts w:hint="eastAsia" w:ascii="仿宋" w:hAnsi="仿宋" w:eastAsia="仿宋"/>
          <w:b w:val="0"/>
          <w:bCs w:val="0"/>
          <w:color w:val="auto"/>
          <w:highlight w:val="none"/>
          <w:lang w:eastAsia="zh-CN"/>
        </w:rPr>
        <w:t>财政拨款收入</w:t>
      </w:r>
      <w:r>
        <w:rPr>
          <w:rStyle w:val="30"/>
          <w:rFonts w:hint="eastAsia" w:ascii="仿宋" w:hAnsi="仿宋" w:eastAsia="仿宋"/>
          <w:b w:val="0"/>
          <w:bCs w:val="0"/>
          <w:color w:val="auto"/>
          <w:highlight w:val="none"/>
        </w:rPr>
        <w:t>支出决算表</w:t>
      </w:r>
      <w:bookmarkEnd w:id="90"/>
    </w:p>
    <w:p>
      <w:pPr>
        <w:pStyle w:val="5"/>
        <w:rPr>
          <w:rFonts w:ascii="仿宋" w:hAnsi="仿宋" w:eastAsia="仿宋"/>
          <w:color w:val="auto"/>
          <w:highlight w:val="none"/>
        </w:rPr>
      </w:pPr>
      <w:bookmarkStart w:id="91" w:name="_Toc15396630"/>
      <w:bookmarkStart w:id="92" w:name="_Toc11790"/>
      <w:r>
        <w:rPr>
          <w:rStyle w:val="30"/>
          <w:rFonts w:hint="eastAsia" w:ascii="仿宋" w:hAnsi="仿宋" w:eastAsia="仿宋"/>
          <w:b w:val="0"/>
          <w:bCs w:val="0"/>
          <w:color w:val="auto"/>
          <w:highlight w:val="none"/>
        </w:rPr>
        <w:t>十二、</w:t>
      </w:r>
      <w:bookmarkEnd w:id="91"/>
      <w:r>
        <w:rPr>
          <w:rStyle w:val="30"/>
          <w:rFonts w:hint="eastAsia" w:ascii="仿宋" w:hAnsi="仿宋" w:eastAsia="仿宋"/>
          <w:b w:val="0"/>
          <w:bCs w:val="0"/>
          <w:color w:val="auto"/>
          <w:highlight w:val="none"/>
          <w:lang w:eastAsia="zh-CN"/>
        </w:rPr>
        <w:t>国有资本经营预算财政拨款支出决算表</w:t>
      </w:r>
      <w:bookmarkEnd w:id="92"/>
    </w:p>
    <w:p>
      <w:pPr>
        <w:pStyle w:val="5"/>
        <w:rPr>
          <w:rFonts w:hint="eastAsia" w:eastAsia="仿宋"/>
          <w:color w:val="auto"/>
          <w:highlight w:val="none"/>
          <w:lang w:eastAsia="zh-CN"/>
        </w:rPr>
      </w:pPr>
      <w:bookmarkStart w:id="93" w:name="_Toc15396631"/>
      <w:bookmarkStart w:id="94" w:name="_Toc11159"/>
      <w:r>
        <w:rPr>
          <w:rStyle w:val="30"/>
          <w:rFonts w:hint="eastAsia" w:ascii="仿宋" w:hAnsi="仿宋" w:eastAsia="仿宋"/>
          <w:b w:val="0"/>
          <w:bCs w:val="0"/>
          <w:color w:val="auto"/>
          <w:highlight w:val="none"/>
        </w:rPr>
        <w:t>十三、</w:t>
      </w:r>
      <w:bookmarkEnd w:id="93"/>
      <w:r>
        <w:rPr>
          <w:rStyle w:val="30"/>
          <w:rFonts w:hint="eastAsia" w:ascii="仿宋" w:hAnsi="仿宋" w:eastAsia="仿宋"/>
          <w:b w:val="0"/>
          <w:bCs w:val="0"/>
          <w:color w:val="auto"/>
          <w:highlight w:val="none"/>
          <w:lang w:eastAsia="zh-CN"/>
        </w:rPr>
        <w:t>财政拨款“三公”经费支出决算表</w:t>
      </w:r>
      <w:bookmarkEnd w:id="94"/>
    </w:p>
    <w:sectPr>
      <w:footerReference r:id="rId11" w:type="first"/>
      <w:footerReference r:id="rId10"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213"/>
        <w:tab w:val="left" w:pos="6246"/>
      </w:tabs>
      <w:jc w:val="left"/>
    </w:pPr>
    <w:r>
      <w:rPr>
        <w:rFonts w:hint="eastAsia"/>
        <w:sz w:val="18"/>
        <w:lang w:eastAsia="zh-CN"/>
      </w:rPr>
      <w:tab/>
    </w:r>
    <w:r>
      <w:rPr>
        <w:rFonts w:hint="eastAsia"/>
        <w:lang w:eastAsia="zh-CN"/>
      </w:rPr>
      <w:tab/>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213"/>
        <w:tab w:val="left" w:pos="6246"/>
      </w:tabs>
      <w:jc w:val="left"/>
    </w:pPr>
    <w:r>
      <w:rPr>
        <w:rFonts w:hint="eastAsia"/>
        <w:sz w:val="18"/>
        <w:lang w:eastAsia="zh-CN"/>
      </w:rPr>
      <w:tab/>
    </w:r>
    <w:r>
      <w:rPr>
        <w:rFonts w:hint="eastAsia"/>
        <w:lang w:eastAsia="zh-CN"/>
      </w:rPr>
      <w:tab/>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213"/>
        <w:tab w:val="left" w:pos="6246"/>
      </w:tabs>
      <w:jc w:val="left"/>
    </w:pPr>
    <w:r>
      <w:rPr>
        <w:rFonts w:hint="eastAsia"/>
        <w:sz w:val="18"/>
        <w:lang w:eastAsia="zh-CN"/>
      </w:rPr>
      <w:tab/>
    </w:r>
    <w:r>
      <w:rPr>
        <w:rFonts w:hint="eastAsia"/>
        <w:lang w:eastAsia="zh-CN"/>
      </w:rPr>
      <w:tab/>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4</w:t>
                    </w:r>
                    <w:r>
                      <w:fldChar w:fldCharType="end"/>
                    </w:r>
                  </w:p>
                </w:txbxContent>
              </v:textbox>
            </v:shape>
          </w:pict>
        </mc:Fallback>
      </mc:AlternateConten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p>
    <w:pPr>
      <w:pStyle w:val="13"/>
      <w:pBdr>
        <w:bottom w:val="none" w:color="auto" w:sz="0" w:space="0"/>
      </w:pBdr>
      <w:jc w:val="both"/>
    </w:pPr>
  </w:p>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6161"/>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5B4F"/>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37C9C"/>
    <w:rsid w:val="023D1721"/>
    <w:rsid w:val="045A1585"/>
    <w:rsid w:val="053A62B5"/>
    <w:rsid w:val="088A61B1"/>
    <w:rsid w:val="08CC4A1B"/>
    <w:rsid w:val="0A2032A3"/>
    <w:rsid w:val="0B8415DD"/>
    <w:rsid w:val="0B8A37D8"/>
    <w:rsid w:val="0B8F0C83"/>
    <w:rsid w:val="0BD7795F"/>
    <w:rsid w:val="0CB64A92"/>
    <w:rsid w:val="0CB7000E"/>
    <w:rsid w:val="0CC872A8"/>
    <w:rsid w:val="0E925714"/>
    <w:rsid w:val="0EA64061"/>
    <w:rsid w:val="0EEA74ED"/>
    <w:rsid w:val="0F26343A"/>
    <w:rsid w:val="10C055FF"/>
    <w:rsid w:val="118107EC"/>
    <w:rsid w:val="11B81A06"/>
    <w:rsid w:val="11DD6519"/>
    <w:rsid w:val="121420F8"/>
    <w:rsid w:val="14E45636"/>
    <w:rsid w:val="15512A8B"/>
    <w:rsid w:val="16BB723D"/>
    <w:rsid w:val="16C11B73"/>
    <w:rsid w:val="16D76A65"/>
    <w:rsid w:val="16FD28DC"/>
    <w:rsid w:val="18015F3F"/>
    <w:rsid w:val="198509FA"/>
    <w:rsid w:val="19FF3CE4"/>
    <w:rsid w:val="1ACA0182"/>
    <w:rsid w:val="1BC57821"/>
    <w:rsid w:val="1BE8440E"/>
    <w:rsid w:val="1C931252"/>
    <w:rsid w:val="1D0A0C22"/>
    <w:rsid w:val="1D155CEE"/>
    <w:rsid w:val="1D1722B1"/>
    <w:rsid w:val="1E5866B5"/>
    <w:rsid w:val="1F3F164B"/>
    <w:rsid w:val="1F4F4185"/>
    <w:rsid w:val="20F57F95"/>
    <w:rsid w:val="21A864C6"/>
    <w:rsid w:val="226435B2"/>
    <w:rsid w:val="22B91B86"/>
    <w:rsid w:val="22C544CA"/>
    <w:rsid w:val="22FF35CB"/>
    <w:rsid w:val="240371BF"/>
    <w:rsid w:val="243218BD"/>
    <w:rsid w:val="24F13A09"/>
    <w:rsid w:val="25711CC6"/>
    <w:rsid w:val="25C741E6"/>
    <w:rsid w:val="25C94AB8"/>
    <w:rsid w:val="25D06895"/>
    <w:rsid w:val="26722306"/>
    <w:rsid w:val="267C43C9"/>
    <w:rsid w:val="26B26BA7"/>
    <w:rsid w:val="27842671"/>
    <w:rsid w:val="285A4185"/>
    <w:rsid w:val="28A7603E"/>
    <w:rsid w:val="29914151"/>
    <w:rsid w:val="29FD04D3"/>
    <w:rsid w:val="2A557070"/>
    <w:rsid w:val="2A810D6A"/>
    <w:rsid w:val="2ABE7A3E"/>
    <w:rsid w:val="2BCC4267"/>
    <w:rsid w:val="2C1F4644"/>
    <w:rsid w:val="2C571A8E"/>
    <w:rsid w:val="2CA234A8"/>
    <w:rsid w:val="2D9A40DD"/>
    <w:rsid w:val="2DD613CD"/>
    <w:rsid w:val="2E341F8D"/>
    <w:rsid w:val="2E840E29"/>
    <w:rsid w:val="2EFA178C"/>
    <w:rsid w:val="2F20571D"/>
    <w:rsid w:val="2F3B6337"/>
    <w:rsid w:val="2F693B33"/>
    <w:rsid w:val="300D4E4E"/>
    <w:rsid w:val="30B46D73"/>
    <w:rsid w:val="319F7F4E"/>
    <w:rsid w:val="31AC0DC2"/>
    <w:rsid w:val="34566B50"/>
    <w:rsid w:val="37A4253C"/>
    <w:rsid w:val="37C91115"/>
    <w:rsid w:val="38017B37"/>
    <w:rsid w:val="383D272C"/>
    <w:rsid w:val="38504D01"/>
    <w:rsid w:val="3872263A"/>
    <w:rsid w:val="38BE2B84"/>
    <w:rsid w:val="39705AE6"/>
    <w:rsid w:val="39AE70AB"/>
    <w:rsid w:val="3A9B396B"/>
    <w:rsid w:val="3AD61C8D"/>
    <w:rsid w:val="3B2E2848"/>
    <w:rsid w:val="3C005088"/>
    <w:rsid w:val="3C0C0783"/>
    <w:rsid w:val="3D1B6DFC"/>
    <w:rsid w:val="3E1A70B4"/>
    <w:rsid w:val="3ECF6099"/>
    <w:rsid w:val="3F9F3A96"/>
    <w:rsid w:val="3FAE21A9"/>
    <w:rsid w:val="41085755"/>
    <w:rsid w:val="41B414ED"/>
    <w:rsid w:val="43555933"/>
    <w:rsid w:val="4400471D"/>
    <w:rsid w:val="47432089"/>
    <w:rsid w:val="474A0981"/>
    <w:rsid w:val="480314DD"/>
    <w:rsid w:val="484F7053"/>
    <w:rsid w:val="48BF60AB"/>
    <w:rsid w:val="493354CD"/>
    <w:rsid w:val="493C27E9"/>
    <w:rsid w:val="496F39ED"/>
    <w:rsid w:val="49FF41D3"/>
    <w:rsid w:val="4A6106CA"/>
    <w:rsid w:val="4B28501C"/>
    <w:rsid w:val="4B3317B5"/>
    <w:rsid w:val="4B3F0159"/>
    <w:rsid w:val="4BE068DB"/>
    <w:rsid w:val="4BF6002B"/>
    <w:rsid w:val="4DB82445"/>
    <w:rsid w:val="4DE338BF"/>
    <w:rsid w:val="4E7520E4"/>
    <w:rsid w:val="4ECE2238"/>
    <w:rsid w:val="4ED7602A"/>
    <w:rsid w:val="50446212"/>
    <w:rsid w:val="50DD77BE"/>
    <w:rsid w:val="51331994"/>
    <w:rsid w:val="51640D38"/>
    <w:rsid w:val="51933955"/>
    <w:rsid w:val="51DB4B86"/>
    <w:rsid w:val="51F003FF"/>
    <w:rsid w:val="52275B5B"/>
    <w:rsid w:val="55333C3E"/>
    <w:rsid w:val="55E71B19"/>
    <w:rsid w:val="564451BE"/>
    <w:rsid w:val="56517DFB"/>
    <w:rsid w:val="56640EC9"/>
    <w:rsid w:val="56A66294"/>
    <w:rsid w:val="56C444AA"/>
    <w:rsid w:val="58873140"/>
    <w:rsid w:val="588E0A85"/>
    <w:rsid w:val="58B33F35"/>
    <w:rsid w:val="59FD190B"/>
    <w:rsid w:val="5E3E6E2C"/>
    <w:rsid w:val="5ED041BC"/>
    <w:rsid w:val="5F27644E"/>
    <w:rsid w:val="60575B45"/>
    <w:rsid w:val="608F4B22"/>
    <w:rsid w:val="62D85F62"/>
    <w:rsid w:val="63986C8E"/>
    <w:rsid w:val="63AA4901"/>
    <w:rsid w:val="63B92C19"/>
    <w:rsid w:val="63DC6A36"/>
    <w:rsid w:val="63F61B40"/>
    <w:rsid w:val="64053C6F"/>
    <w:rsid w:val="64A55079"/>
    <w:rsid w:val="64C737ED"/>
    <w:rsid w:val="64CA39A1"/>
    <w:rsid w:val="655A2308"/>
    <w:rsid w:val="66F6238D"/>
    <w:rsid w:val="681A2622"/>
    <w:rsid w:val="69490210"/>
    <w:rsid w:val="69630ADE"/>
    <w:rsid w:val="69CC6872"/>
    <w:rsid w:val="6AAF57D6"/>
    <w:rsid w:val="6B00369D"/>
    <w:rsid w:val="6B0A70AB"/>
    <w:rsid w:val="6BCF2A70"/>
    <w:rsid w:val="6C4A05C8"/>
    <w:rsid w:val="6C81461E"/>
    <w:rsid w:val="6D3B1A89"/>
    <w:rsid w:val="6E6727CB"/>
    <w:rsid w:val="6EFA06B8"/>
    <w:rsid w:val="6F5C6792"/>
    <w:rsid w:val="6F9C4C95"/>
    <w:rsid w:val="70A10B69"/>
    <w:rsid w:val="71BF4EC2"/>
    <w:rsid w:val="72066EDB"/>
    <w:rsid w:val="72734D90"/>
    <w:rsid w:val="72B07ECA"/>
    <w:rsid w:val="73223D39"/>
    <w:rsid w:val="73970987"/>
    <w:rsid w:val="7412278C"/>
    <w:rsid w:val="771D1ACC"/>
    <w:rsid w:val="788305D7"/>
    <w:rsid w:val="78D41F79"/>
    <w:rsid w:val="7904082E"/>
    <w:rsid w:val="79E7B28D"/>
    <w:rsid w:val="7AF366E7"/>
    <w:rsid w:val="7B5D0D8C"/>
    <w:rsid w:val="7BD75A6B"/>
    <w:rsid w:val="7C1209BF"/>
    <w:rsid w:val="7D7E6E68"/>
    <w:rsid w:val="7F7F7AB9"/>
    <w:rsid w:val="7F9F20EE"/>
    <w:rsid w:val="7FA65121"/>
    <w:rsid w:val="7FF60445"/>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3"/>
    <w:unhideWhenUsed/>
    <w:qFormat/>
    <w:uiPriority w:val="9"/>
    <w:pPr>
      <w:keepNext/>
      <w:keepLines/>
      <w:spacing w:before="260" w:after="260" w:line="416" w:lineRule="auto"/>
      <w:outlineLvl w:val="2"/>
    </w:pPr>
    <w:rPr>
      <w:b/>
      <w:bCs/>
      <w:sz w:val="32"/>
      <w:szCs w:val="32"/>
    </w:rPr>
  </w:style>
  <w:style w:type="paragraph" w:styleId="7">
    <w:name w:val="heading 4"/>
    <w:basedOn w:val="2"/>
    <w:next w:val="2"/>
    <w:qFormat/>
    <w:uiPriority w:val="9"/>
    <w:pPr>
      <w:spacing w:line="560" w:lineRule="exact"/>
      <w:ind w:firstLine="643" w:firstLineChars="200"/>
      <w:outlineLvl w:val="3"/>
    </w:pPr>
    <w:rPr>
      <w:rFonts w:ascii="仿宋_GB2312" w:eastAsia="仿宋_GB2312"/>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6"/>
    <w:qFormat/>
    <w:uiPriority w:val="99"/>
    <w:pPr>
      <w:spacing w:beforeLines="30"/>
    </w:pPr>
    <w:rPr>
      <w:rFonts w:ascii="仿宋_GB2312" w:eastAsia="仿宋_GB2312"/>
      <w:kern w:val="0"/>
      <w:sz w:val="30"/>
    </w:rPr>
  </w:style>
  <w:style w:type="paragraph" w:styleId="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8">
    <w:name w:val="Salutation"/>
    <w:basedOn w:val="1"/>
    <w:next w:val="1"/>
    <w:qFormat/>
    <w:uiPriority w:val="0"/>
  </w:style>
  <w:style w:type="paragraph" w:styleId="9">
    <w:name w:val="Body Text Indent"/>
    <w:basedOn w:val="1"/>
    <w:qFormat/>
    <w:uiPriority w:val="0"/>
    <w:pPr>
      <w:spacing w:after="120"/>
      <w:ind w:leftChars="200"/>
    </w:pPr>
    <w:rPr>
      <w:rFonts w:ascii="仿宋_GB2312"/>
      <w:szCs w:val="32"/>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2"/>
    <w:semiHidden/>
    <w:unhideWhenUsed/>
    <w:qFormat/>
    <w:uiPriority w:val="99"/>
    <w:rPr>
      <w:sz w:val="18"/>
      <w:szCs w:val="18"/>
    </w:rPr>
  </w:style>
  <w:style w:type="paragraph" w:styleId="12">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9"/>
    <w:unhideWhenUsed/>
    <w:qFormat/>
    <w:uiPriority w:val="99"/>
    <w:pPr>
      <w:ind w:firstLine="420" w:firstLineChars="200"/>
    </w:pPr>
  </w:style>
  <w:style w:type="character" w:styleId="18">
    <w:name w:val="Strong"/>
    <w:basedOn w:val="17"/>
    <w:qFormat/>
    <w:uiPriority w:val="99"/>
    <w:rPr>
      <w:b/>
    </w:rPr>
  </w:style>
  <w:style w:type="character" w:styleId="19">
    <w:name w:val="page number"/>
    <w:basedOn w:val="17"/>
    <w:qFormat/>
    <w:uiPriority w:val="0"/>
  </w:style>
  <w:style w:type="character" w:styleId="20">
    <w:name w:val="Hyperlink"/>
    <w:basedOn w:val="17"/>
    <w:unhideWhenUsed/>
    <w:qFormat/>
    <w:uiPriority w:val="99"/>
    <w:rPr>
      <w:color w:val="0000FF" w:themeColor="hyperlink"/>
      <w:u w:val="single"/>
      <w14:textFill>
        <w14:solidFill>
          <w14:schemeClr w14:val="hlink"/>
        </w14:solidFill>
      </w14:textFill>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3"/>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2"/>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4"/>
    <w:qFormat/>
    <w:uiPriority w:val="9"/>
    <w:rPr>
      <w:rFonts w:ascii="Times New Roman" w:hAnsi="Times New Roman"/>
      <w:b/>
      <w:bCs/>
      <w:kern w:val="44"/>
      <w:sz w:val="44"/>
      <w:szCs w:val="44"/>
    </w:rPr>
  </w:style>
  <w:style w:type="character" w:customStyle="1" w:styleId="30">
    <w:name w:val="标题 2 Char"/>
    <w:basedOn w:val="17"/>
    <w:link w:val="5"/>
    <w:qFormat/>
    <w:uiPriority w:val="9"/>
    <w:rPr>
      <w:rFonts w:asciiTheme="majorHAnsi" w:hAnsiTheme="majorHAnsi" w:eastAsiaTheme="majorEastAsia" w:cstheme="majorBidi"/>
      <w:b/>
      <w:bCs/>
      <w:kern w:val="2"/>
      <w:sz w:val="32"/>
      <w:szCs w:val="32"/>
    </w:rPr>
  </w:style>
  <w:style w:type="paragraph" w:customStyle="1" w:styleId="31">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1"/>
    <w:semiHidden/>
    <w:qFormat/>
    <w:uiPriority w:val="99"/>
    <w:rPr>
      <w:rFonts w:ascii="Times New Roman" w:hAnsi="Times New Roman"/>
      <w:kern w:val="2"/>
      <w:sz w:val="18"/>
      <w:szCs w:val="18"/>
    </w:rPr>
  </w:style>
  <w:style w:type="character" w:customStyle="1" w:styleId="33">
    <w:name w:val="标题 3 Char"/>
    <w:basedOn w:val="17"/>
    <w:link w:val="6"/>
    <w:qFormat/>
    <w:uiPriority w:val="9"/>
    <w:rPr>
      <w:rFonts w:ascii="Times New Roman" w:hAnsi="Times New Roman"/>
      <w:b/>
      <w:bCs/>
      <w:kern w:val="2"/>
      <w:sz w:val="32"/>
      <w:szCs w:val="32"/>
    </w:rPr>
  </w:style>
  <w:style w:type="paragraph" w:customStyle="1" w:styleId="34">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NormalCharacter"/>
    <w:semiHidden/>
    <w:qFormat/>
    <w:uiPriority w:val="0"/>
  </w:style>
  <w:style w:type="character" w:customStyle="1" w:styleId="36">
    <w:name w:val="font81"/>
    <w:basedOn w:val="17"/>
    <w:qFormat/>
    <w:uiPriority w:val="0"/>
    <w:rPr>
      <w:rFonts w:hint="eastAsia" w:ascii="仿宋_GB2312" w:eastAsia="仿宋_GB2312" w:cs="仿宋_GB2312"/>
      <w:color w:val="FF0000"/>
      <w:sz w:val="28"/>
      <w:szCs w:val="28"/>
      <w:u w:val="none"/>
    </w:rPr>
  </w:style>
  <w:style w:type="character" w:customStyle="1" w:styleId="37">
    <w:name w:val="font101"/>
    <w:basedOn w:val="17"/>
    <w:qFormat/>
    <w:uiPriority w:val="0"/>
    <w:rPr>
      <w:rFonts w:hint="eastAsia" w:ascii="宋体" w:hAnsi="宋体" w:eastAsia="宋体" w:cs="宋体"/>
      <w:color w:val="000000"/>
      <w:sz w:val="20"/>
      <w:szCs w:val="20"/>
      <w:u w:val="none"/>
    </w:rPr>
  </w:style>
  <w:style w:type="character" w:customStyle="1" w:styleId="38">
    <w:name w:val="font112"/>
    <w:basedOn w:val="17"/>
    <w:qFormat/>
    <w:uiPriority w:val="0"/>
    <w:rPr>
      <w:rFonts w:hint="eastAsia" w:ascii="宋体" w:hAnsi="宋体" w:eastAsia="宋体" w:cs="宋体"/>
      <w:color w:val="000000"/>
      <w:sz w:val="16"/>
      <w:szCs w:val="16"/>
      <w:u w:val="none"/>
    </w:rPr>
  </w:style>
  <w:style w:type="character" w:customStyle="1" w:styleId="39">
    <w:name w:val="font121"/>
    <w:basedOn w:val="17"/>
    <w:qFormat/>
    <w:uiPriority w:val="0"/>
    <w:rPr>
      <w:rFonts w:hint="eastAsia" w:ascii="宋体" w:hAnsi="宋体" w:eastAsia="宋体" w:cs="宋体"/>
      <w:color w:val="000000"/>
      <w:sz w:val="16"/>
      <w:szCs w:val="16"/>
      <w:u w:val="none"/>
    </w:rPr>
  </w:style>
  <w:style w:type="character" w:customStyle="1" w:styleId="40">
    <w:name w:val="font91"/>
    <w:basedOn w:val="17"/>
    <w:qFormat/>
    <w:uiPriority w:val="0"/>
    <w:rPr>
      <w:rFonts w:hint="eastAsia" w:ascii="宋体" w:hAnsi="宋体" w:eastAsia="宋体" w:cs="宋体"/>
      <w:color w:val="000000"/>
      <w:sz w:val="32"/>
      <w:szCs w:val="32"/>
      <w:u w:val="none"/>
    </w:rPr>
  </w:style>
  <w:style w:type="character" w:customStyle="1" w:styleId="41">
    <w:name w:val="font71"/>
    <w:basedOn w:val="17"/>
    <w:qFormat/>
    <w:uiPriority w:val="0"/>
    <w:rPr>
      <w:rFonts w:hint="eastAsia" w:ascii="宋体" w:hAnsi="宋体" w:eastAsia="宋体" w:cs="宋体"/>
      <w:color w:val="000000"/>
      <w:sz w:val="16"/>
      <w:szCs w:val="16"/>
      <w:u w:val="none"/>
    </w:rPr>
  </w:style>
  <w:style w:type="character" w:customStyle="1" w:styleId="42">
    <w:name w:val="font111"/>
    <w:basedOn w:val="17"/>
    <w:qFormat/>
    <w:uiPriority w:val="0"/>
    <w:rPr>
      <w:rFonts w:hint="eastAsia" w:ascii="宋体" w:hAnsi="宋体" w:eastAsia="宋体" w:cs="宋体"/>
      <w:color w:val="000000"/>
      <w:sz w:val="16"/>
      <w:szCs w:val="16"/>
      <w:u w:val="none"/>
    </w:rPr>
  </w:style>
  <w:style w:type="character" w:customStyle="1" w:styleId="43">
    <w:name w:val="font51"/>
    <w:basedOn w:val="17"/>
    <w:qFormat/>
    <w:uiPriority w:val="0"/>
    <w:rPr>
      <w:rFonts w:hint="eastAsia" w:ascii="宋体" w:hAnsi="宋体" w:eastAsia="宋体" w:cs="宋体"/>
      <w:color w:val="000000"/>
      <w:sz w:val="16"/>
      <w:szCs w:val="16"/>
      <w:u w:val="none"/>
    </w:rPr>
  </w:style>
  <w:style w:type="character" w:customStyle="1" w:styleId="44">
    <w:name w:val="font11"/>
    <w:basedOn w:val="17"/>
    <w:qFormat/>
    <w:uiPriority w:val="0"/>
    <w:rPr>
      <w:rFonts w:hint="eastAsia" w:ascii="宋体" w:hAnsi="宋体" w:eastAsia="宋体" w:cs="宋体"/>
      <w:color w:val="000000"/>
      <w:sz w:val="32"/>
      <w:szCs w:val="32"/>
      <w:u w:val="none"/>
    </w:rPr>
  </w:style>
  <w:style w:type="paragraph" w:customStyle="1" w:styleId="45">
    <w:name w:val="WPSOffice手动目录 1"/>
    <w:qFormat/>
    <w:uiPriority w:val="0"/>
    <w:pPr>
      <w:ind w:leftChars="0"/>
    </w:pPr>
    <w:rPr>
      <w:rFonts w:ascii="Times New Roman" w:hAnsi="Times New Roman" w:eastAsia="宋体" w:cs="Times New Roman"/>
      <w:sz w:val="20"/>
      <w:szCs w:val="20"/>
    </w:rPr>
  </w:style>
  <w:style w:type="paragraph" w:customStyle="1" w:styleId="4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G:\&#27597;&#40857;&#27954;\&#20915;&#31639;&#25253;&#34920;\2021&#24180;&#20915;&#31639;&#20844;&#24320;\2021&#24180;&#24191;&#20803;&#24066;&#31934;&#31070;&#21355;&#29983;&#20013;&#24515;&#20915;&#31639;&#20844;&#24320;&#25253;&#349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G:\&#27597;&#40857;&#27954;\&#20915;&#31639;&#25253;&#34920;\2022&#24180;&#20915;&#31639;&#20844;&#24320;\&#24191;&#20803;&#24066;&#31934;&#31070;&#21355;&#29983;&#20013;&#24515;2022&#24180;&#21333;&#20301;&#20915;&#31639;&#20844;&#24320;&#25253;&#349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G:\&#27597;&#40857;&#27954;\&#20915;&#31639;&#25253;&#34920;\2022&#24180;&#20915;&#31639;&#20844;&#24320;\&#24191;&#20803;&#24066;&#31934;&#31070;&#21355;&#29983;&#20013;&#24515;2022&#24180;&#21333;&#20301;&#20915;&#31639;&#20844;&#24320;&#25253;&#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G:\&#27597;&#40857;&#27954;\&#20915;&#31639;&#25253;&#34920;\2022&#24180;&#20915;&#31639;&#20844;&#24320;\&#24191;&#20803;&#24066;&#31934;&#31070;&#21355;&#29983;&#20013;&#24515;2022&#24180;&#21333;&#20301;&#20915;&#31639;&#20844;&#24320;&#25253;&#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G:\&#27597;&#40857;&#27954;\&#20915;&#31639;&#25253;&#34920;\2022&#24180;&#20915;&#31639;&#20844;&#24320;\&#24191;&#20803;&#24066;&#31934;&#31070;&#21355;&#29983;&#20013;&#24515;2022&#24180;&#21333;&#20301;&#20915;&#31639;&#20844;&#24320;&#25253;&#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G:\&#27597;&#40857;&#27954;\&#20915;&#31639;&#25253;&#34920;\2022&#24180;&#20915;&#31639;&#20844;&#24320;\&#24191;&#20803;&#24066;&#31934;&#31070;&#21355;&#29983;&#20013;&#24515;2022&#24180;&#21333;&#20301;&#20915;&#31639;&#20844;&#24320;&#25253;&#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'[2021年广元市精神卫生中心决算公开报表.XLS]Z01 收入支出决算总表(财决公开01表)'!$J$22:$J$23</c:f>
              <c:strCache>
                <c:ptCount val="2"/>
                <c:pt idx="0">
                  <c:v>2021年</c:v>
                </c:pt>
                <c:pt idx="1">
                  <c:v>2022年</c:v>
                </c:pt>
              </c:strCache>
            </c:strRef>
          </c:cat>
          <c:val>
            <c:numRef>
              <c:f>'[2021年广元市精神卫生中心决算公开报表.XLS]Z01 收入支出决算总表(财决公开01表)'!$K$22:$K$23</c:f>
              <c:numCache>
                <c:formatCode>#,##0.00</c:formatCode>
                <c:ptCount val="2"/>
                <c:pt idx="0">
                  <c:v>66132.67</c:v>
                </c:pt>
                <c:pt idx="1">
                  <c:v>78532.76</c:v>
                </c:pt>
              </c:numCache>
            </c:numRef>
          </c:val>
        </c:ser>
        <c:dLbls>
          <c:showLegendKey val="0"/>
          <c:showVal val="0"/>
          <c:showCatName val="0"/>
          <c:showSerName val="0"/>
          <c:showPercent val="0"/>
          <c:showBubbleSize val="0"/>
        </c:dLbls>
        <c:gapWidth val="219"/>
        <c:overlap val="-27"/>
        <c:axId val="138515194"/>
        <c:axId val="703621062"/>
      </c:barChart>
      <c:catAx>
        <c:axId val="13851519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03621062"/>
        <c:crosses val="autoZero"/>
        <c:auto val="1"/>
        <c:lblAlgn val="ctr"/>
        <c:lblOffset val="100"/>
        <c:noMultiLvlLbl val="0"/>
      </c:catAx>
      <c:valAx>
        <c:axId val="70362106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851519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553202421879609"/>
                  <c:y val="0.0081706857539592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313028324644632"/>
                  <c:y val="-0.0311313277768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158963860685985"/>
                  <c:y val="-0.0280138644079885"/>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'[广元市精神卫生中心2022年单位决算公开报表.XLS]G02 收入决算表(公开02表)'!$E$42:$E$44</c:f>
              <c:strCache>
                <c:ptCount val="3"/>
                <c:pt idx="0">
                  <c:v>财政拨款收入</c:v>
                </c:pt>
                <c:pt idx="1">
                  <c:v>事业收入</c:v>
                </c:pt>
                <c:pt idx="2">
                  <c:v>其他收入</c:v>
                </c:pt>
              </c:strCache>
            </c:strRef>
          </c:cat>
          <c:val>
            <c:numRef>
              <c:f>'[广元市精神卫生中心2022年单位决算公开报表.XLS]G02 收入决算表(公开02表)'!$F$42:$F$44</c:f>
              <c:numCache>
                <c:formatCode>#,##0.00</c:formatCode>
                <c:ptCount val="3"/>
                <c:pt idx="0">
                  <c:v>6275.72</c:v>
                </c:pt>
                <c:pt idx="1">
                  <c:v>43806.14</c:v>
                </c:pt>
                <c:pt idx="2">
                  <c:v>26098.41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831305206225971"/>
                  <c:y val="-0.036416439346288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247971980574801"/>
                  <c:y val="0.0190553318927695"/>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'[广元市精神卫生中心2022年单位决算公开报表.XLS]G03 支出决算表(公开03表)'!$E$36:$E$37</c:f>
              <c:strCache>
                <c:ptCount val="2"/>
                <c:pt idx="0">
                  <c:v>基本支出</c:v>
                </c:pt>
                <c:pt idx="1">
                  <c:v>项目支出</c:v>
                </c:pt>
              </c:strCache>
            </c:strRef>
          </c:cat>
          <c:val>
            <c:numRef>
              <c:f>'[广元市精神卫生中心2022年单位决算公开报表.XLS]G03 支出决算表(公开03表)'!$F$36:$F$37</c:f>
              <c:numCache>
                <c:formatCode>#,##0.00</c:formatCode>
                <c:ptCount val="2"/>
                <c:pt idx="0">
                  <c:v>66125.76</c:v>
                </c:pt>
                <c:pt idx="1">
                  <c:v>11808.05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'[广元市精神卫生中心2022年单位决算公开报表.XLS]G04 财政拨款收入支出决算总表(公开04表)'!$E$46:$E$47</c:f>
              <c:strCache>
                <c:ptCount val="2"/>
                <c:pt idx="0">
                  <c:v>2022年</c:v>
                </c:pt>
                <c:pt idx="1">
                  <c:v>2021年</c:v>
                </c:pt>
              </c:strCache>
            </c:strRef>
          </c:cat>
          <c:val>
            <c:numRef>
              <c:f>'[广元市精神卫生中心2022年单位决算公开报表.XLS]G04 财政拨款收入支出决算总表(公开04表)'!$F$46:$F$47</c:f>
              <c:numCache>
                <c:formatCode>#,##0.00</c:formatCode>
                <c:ptCount val="2"/>
                <c:pt idx="0">
                  <c:v>6359.61</c:v>
                </c:pt>
                <c:pt idx="1">
                  <c:v>4651.97</c:v>
                </c:pt>
              </c:numCache>
            </c:numRef>
          </c:val>
        </c:ser>
        <c:dLbls>
          <c:showLegendKey val="0"/>
          <c:showVal val="1"/>
          <c:showCatName val="0"/>
          <c:showSerName val="0"/>
          <c:showPercent val="0"/>
          <c:showBubbleSize val="0"/>
        </c:dLbls>
        <c:gapWidth val="219"/>
        <c:overlap val="-27"/>
        <c:axId val="252616382"/>
        <c:axId val="353559944"/>
      </c:barChart>
      <c:catAx>
        <c:axId val="25261638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3559944"/>
        <c:crosses val="autoZero"/>
        <c:auto val="1"/>
        <c:lblAlgn val="ctr"/>
        <c:lblOffset val="100"/>
        <c:noMultiLvlLbl val="0"/>
      </c:catAx>
      <c:valAx>
        <c:axId val="35355994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261638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'[广元市精神卫生中心2022年单位决算公开报表.XLS]G05 财政拨款支出决算明细表(公开05表)'!$N$10:$N$11</c:f>
              <c:strCache>
                <c:ptCount val="2"/>
                <c:pt idx="0">
                  <c:v>2022年</c:v>
                </c:pt>
                <c:pt idx="1">
                  <c:v>2021年</c:v>
                </c:pt>
              </c:strCache>
            </c:strRef>
          </c:cat>
          <c:val>
            <c:numRef>
              <c:f>'[广元市精神卫生中心2022年单位决算公开报表.XLS]G05 财政拨款支出决算明细表(公开05表)'!$O$10:$O$11</c:f>
              <c:numCache>
                <c:formatCode>#,##0.00</c:formatCode>
                <c:ptCount val="2"/>
                <c:pt idx="0">
                  <c:v>5875.86</c:v>
                </c:pt>
                <c:pt idx="1">
                  <c:v>3871.72</c:v>
                </c:pt>
              </c:numCache>
            </c:numRef>
          </c:val>
        </c:ser>
        <c:dLbls>
          <c:showLegendKey val="0"/>
          <c:showVal val="1"/>
          <c:showCatName val="0"/>
          <c:showSerName val="0"/>
          <c:showPercent val="0"/>
          <c:showBubbleSize val="0"/>
        </c:dLbls>
        <c:gapWidth val="219"/>
        <c:overlap val="-27"/>
        <c:axId val="297478861"/>
        <c:axId val="898647378"/>
      </c:barChart>
      <c:catAx>
        <c:axId val="29747886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8647378"/>
        <c:crosses val="autoZero"/>
        <c:auto val="1"/>
        <c:lblAlgn val="ctr"/>
        <c:lblOffset val="100"/>
        <c:noMultiLvlLbl val="0"/>
      </c:catAx>
      <c:valAx>
        <c:axId val="89864737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747886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786541072387366"/>
                  <c:y val="-0.0020121053399108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24876074673854"/>
                  <c:y val="-0.0047954033737303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58458983960073"/>
                  <c:y val="-0.0020102221371662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'[广元市精神卫生中心2022年单位决算公开报表.XLS]G04 财政拨款收入支出决算总表(公开04表)'!$K$15:$K$17</c:f>
              <c:strCache>
                <c:ptCount val="3"/>
                <c:pt idx="0">
                  <c:v>社会保障和就业支出</c:v>
                </c:pt>
                <c:pt idx="1">
                  <c:v>卫生健康支出</c:v>
                </c:pt>
                <c:pt idx="2">
                  <c:v>住房保障支出</c:v>
                </c:pt>
              </c:strCache>
            </c:strRef>
          </c:cat>
          <c:val>
            <c:numRef>
              <c:f>'[广元市精神卫生中心2022年单位决算公开报表.XLS]G04 财政拨款收入支出决算总表(公开04表)'!$L$15:$L$17</c:f>
              <c:numCache>
                <c:formatCode>#,##0.00</c:formatCode>
                <c:ptCount val="3"/>
                <c:pt idx="0">
                  <c:v>201.63</c:v>
                </c:pt>
                <c:pt idx="1">
                  <c:v>5485.96</c:v>
                </c:pt>
                <c:pt idx="2">
                  <c:v>188.27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0</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鲁西西</cp:lastModifiedBy>
  <cp:lastPrinted>2023-09-27T08:59:00Z</cp:lastPrinted>
  <dcterms:modified xsi:type="dcterms:W3CDTF">2023-10-18T07:14:28Z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